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450C" w14:textId="15EE87DF" w:rsidR="00934D96" w:rsidRPr="001A77EA" w:rsidRDefault="00934D96" w:rsidP="00BB525B">
      <w:pPr>
        <w:tabs>
          <w:tab w:val="left" w:pos="1060"/>
        </w:tabs>
        <w:spacing w:before="45" w:after="0" w:line="240" w:lineRule="auto"/>
        <w:ind w:right="-54"/>
        <w:jc w:val="both"/>
        <w:rPr>
          <w:rFonts w:eastAsia="Swis721 BT" w:cs="Arial"/>
          <w:b/>
          <w:sz w:val="22"/>
          <w:szCs w:val="20"/>
        </w:rPr>
      </w:pPr>
      <w:r w:rsidRPr="001A77EA">
        <w:rPr>
          <w:rFonts w:eastAsia="Swis721 BT" w:cs="Arial"/>
          <w:b/>
          <w:sz w:val="22"/>
          <w:szCs w:val="20"/>
        </w:rPr>
        <w:t>Competency Statement</w:t>
      </w:r>
      <w:r w:rsidR="00965A2F">
        <w:rPr>
          <w:rFonts w:eastAsia="Swis721 BT" w:cs="Arial"/>
          <w:b/>
          <w:sz w:val="22"/>
          <w:szCs w:val="20"/>
        </w:rPr>
        <w:t>s</w:t>
      </w:r>
      <w:r w:rsidR="001B1B21">
        <w:rPr>
          <w:rFonts w:eastAsia="Swis721 BT" w:cs="Arial"/>
          <w:b/>
          <w:sz w:val="22"/>
          <w:szCs w:val="20"/>
        </w:rPr>
        <w:t xml:space="preserve"> template: </w:t>
      </w:r>
      <w:r w:rsidR="00C65A2C" w:rsidRPr="001A77EA">
        <w:rPr>
          <w:rFonts w:eastAsia="Swis721 BT" w:cs="Arial"/>
          <w:b/>
          <w:sz w:val="22"/>
          <w:szCs w:val="20"/>
        </w:rPr>
        <w:t>AusIMM CP</w:t>
      </w:r>
      <w:r w:rsidR="00BB525B" w:rsidRPr="001A77EA">
        <w:rPr>
          <w:rFonts w:eastAsia="Swis721 BT" w:cs="Arial"/>
          <w:b/>
          <w:sz w:val="22"/>
          <w:szCs w:val="20"/>
        </w:rPr>
        <w:t xml:space="preserve"> </w:t>
      </w:r>
      <w:r w:rsidR="00112A19">
        <w:rPr>
          <w:rFonts w:eastAsia="Swis721 BT" w:cs="Arial"/>
          <w:b/>
          <w:sz w:val="22"/>
          <w:szCs w:val="20"/>
        </w:rPr>
        <w:t>–</w:t>
      </w:r>
      <w:r w:rsidR="00BB525B" w:rsidRPr="001A77EA">
        <w:rPr>
          <w:rFonts w:eastAsia="Swis721 BT" w:cs="Arial"/>
          <w:b/>
          <w:sz w:val="22"/>
          <w:szCs w:val="20"/>
        </w:rPr>
        <w:t xml:space="preserve"> </w:t>
      </w:r>
      <w:r w:rsidR="00112A19">
        <w:rPr>
          <w:rFonts w:eastAsia="Swis721 BT" w:cs="Arial"/>
          <w:b/>
          <w:sz w:val="22"/>
          <w:szCs w:val="20"/>
        </w:rPr>
        <w:t xml:space="preserve">Social Performance </w:t>
      </w:r>
      <w:r w:rsidRPr="001A77EA">
        <w:rPr>
          <w:rFonts w:eastAsia="Swis721 BT" w:cs="Arial"/>
          <w:b/>
          <w:sz w:val="22"/>
          <w:szCs w:val="20"/>
        </w:rPr>
        <w:t>Discipline</w:t>
      </w:r>
    </w:p>
    <w:p w14:paraId="41B7DB9D" w14:textId="77777777" w:rsidR="00934D96" w:rsidRPr="00934D96" w:rsidRDefault="00934D96" w:rsidP="00934D96">
      <w:pPr>
        <w:spacing w:before="14" w:after="0" w:line="200" w:lineRule="exact"/>
        <w:rPr>
          <w:rFonts w:cs="Arial"/>
          <w:szCs w:val="20"/>
        </w:rPr>
      </w:pPr>
    </w:p>
    <w:p w14:paraId="4570F259" w14:textId="77777777" w:rsidR="00BB525B" w:rsidRDefault="00BB525B" w:rsidP="00934D96">
      <w:pPr>
        <w:tabs>
          <w:tab w:val="left" w:pos="1060"/>
        </w:tabs>
        <w:spacing w:before="45" w:after="0" w:line="240" w:lineRule="auto"/>
        <w:ind w:right="-54"/>
        <w:jc w:val="both"/>
        <w:rPr>
          <w:rFonts w:eastAsia="Swis721 BT" w:cs="Arial"/>
          <w:szCs w:val="20"/>
        </w:rPr>
      </w:pPr>
    </w:p>
    <w:p w14:paraId="4BCCEA24" w14:textId="04BD27CE" w:rsidR="00934D96" w:rsidRPr="00934D96" w:rsidRDefault="00934D96" w:rsidP="00934D96">
      <w:pPr>
        <w:tabs>
          <w:tab w:val="left" w:pos="1060"/>
        </w:tabs>
        <w:spacing w:before="45" w:after="0" w:line="240" w:lineRule="auto"/>
        <w:ind w:right="-54"/>
        <w:jc w:val="both"/>
        <w:rPr>
          <w:rFonts w:eastAsia="Swis721 BT" w:cs="Arial"/>
          <w:szCs w:val="20"/>
        </w:rPr>
      </w:pPr>
      <w:r w:rsidRPr="00934D96">
        <w:rPr>
          <w:rFonts w:eastAsia="Swis721 BT" w:cs="Arial"/>
          <w:szCs w:val="20"/>
        </w:rPr>
        <w:t>This template is to be completed by applicants seeking AusIMM Chartered Professional accreditation</w:t>
      </w:r>
      <w:r w:rsidR="008B7E31">
        <w:rPr>
          <w:rFonts w:eastAsia="Swis721 BT" w:cs="Arial"/>
          <w:szCs w:val="20"/>
        </w:rPr>
        <w:t xml:space="preserve"> and/or RPEQ assessment</w:t>
      </w:r>
      <w:r w:rsidRPr="00934D96">
        <w:rPr>
          <w:rFonts w:eastAsia="Swis721 BT" w:cs="Arial"/>
          <w:spacing w:val="-13"/>
          <w:szCs w:val="20"/>
        </w:rPr>
        <w:t xml:space="preserve"> </w:t>
      </w:r>
      <w:r w:rsidRPr="00934D96">
        <w:rPr>
          <w:rFonts w:eastAsia="Swis721 BT" w:cs="Arial"/>
          <w:szCs w:val="20"/>
        </w:rPr>
        <w:t>in</w:t>
      </w:r>
      <w:r w:rsidRPr="00934D96">
        <w:rPr>
          <w:rFonts w:eastAsia="Swis721 BT" w:cs="Arial"/>
          <w:spacing w:val="-2"/>
          <w:szCs w:val="20"/>
        </w:rPr>
        <w:t xml:space="preserve"> </w:t>
      </w:r>
      <w:r w:rsidRPr="00934D96">
        <w:rPr>
          <w:rFonts w:eastAsia="Swis721 BT" w:cs="Arial"/>
          <w:szCs w:val="20"/>
        </w:rPr>
        <w:t>the</w:t>
      </w:r>
      <w:r w:rsidRPr="00934D96">
        <w:rPr>
          <w:rFonts w:eastAsia="Swis721 BT" w:cs="Arial"/>
          <w:spacing w:val="-5"/>
          <w:szCs w:val="20"/>
        </w:rPr>
        <w:t xml:space="preserve"> Discipline</w:t>
      </w:r>
      <w:r w:rsidRPr="00934D96">
        <w:rPr>
          <w:rFonts w:eastAsia="Swis721 BT" w:cs="Arial"/>
          <w:spacing w:val="-9"/>
          <w:szCs w:val="20"/>
        </w:rPr>
        <w:t xml:space="preserve"> </w:t>
      </w:r>
      <w:r w:rsidRPr="00934D96">
        <w:rPr>
          <w:rFonts w:eastAsia="Swis721 BT" w:cs="Arial"/>
          <w:szCs w:val="20"/>
        </w:rPr>
        <w:t>of</w:t>
      </w:r>
      <w:r w:rsidRPr="00934D96">
        <w:rPr>
          <w:rFonts w:eastAsia="Swis721 BT" w:cs="Arial"/>
          <w:spacing w:val="-2"/>
          <w:szCs w:val="20"/>
        </w:rPr>
        <w:t xml:space="preserve"> </w:t>
      </w:r>
      <w:r w:rsidR="00112A19">
        <w:rPr>
          <w:rFonts w:eastAsia="Swis721 BT" w:cs="Arial"/>
          <w:spacing w:val="-2"/>
          <w:szCs w:val="20"/>
        </w:rPr>
        <w:t>Social Performance</w:t>
      </w:r>
      <w:r w:rsidRPr="00934D96">
        <w:rPr>
          <w:rFonts w:eastAsia="Swis721 BT" w:cs="Arial"/>
          <w:szCs w:val="20"/>
        </w:rPr>
        <w:t xml:space="preserve"> to demonstrate the relevant competencies have been achieved in accordance with the</w:t>
      </w:r>
      <w:r w:rsidR="00112A19">
        <w:rPr>
          <w:rFonts w:eastAsia="Swis721 BT" w:cs="Arial"/>
          <w:szCs w:val="20"/>
        </w:rPr>
        <w:t xml:space="preserve"> </w:t>
      </w:r>
      <w:hyperlink r:id="rId8" w:history="1">
        <w:r w:rsidR="00112A19" w:rsidRPr="00112A19">
          <w:rPr>
            <w:rStyle w:val="Hyperlink"/>
            <w:rFonts w:eastAsia="Swis721 BT" w:cs="Arial"/>
            <w:szCs w:val="20"/>
          </w:rPr>
          <w:t>Chartered Professional Regulation and Guideline 3</w:t>
        </w:r>
      </w:hyperlink>
    </w:p>
    <w:p w14:paraId="0F3F41AB" w14:textId="77777777" w:rsidR="00934D96" w:rsidRPr="00934D96" w:rsidRDefault="00934D96" w:rsidP="00934D96">
      <w:pPr>
        <w:tabs>
          <w:tab w:val="left" w:pos="1060"/>
        </w:tabs>
        <w:spacing w:before="45" w:after="0" w:line="240" w:lineRule="auto"/>
        <w:ind w:right="-54"/>
        <w:jc w:val="both"/>
        <w:rPr>
          <w:rFonts w:eastAsia="Swis721 BT" w:cs="Arial"/>
          <w:szCs w:val="20"/>
        </w:rPr>
      </w:pPr>
    </w:p>
    <w:tbl>
      <w:tblPr>
        <w:tblStyle w:val="TableGrid"/>
        <w:tblW w:w="0" w:type="auto"/>
        <w:jc w:val="center"/>
        <w:tblLook w:val="04A0" w:firstRow="1" w:lastRow="0" w:firstColumn="1" w:lastColumn="0" w:noHBand="0" w:noVBand="1"/>
      </w:tblPr>
      <w:tblGrid>
        <w:gridCol w:w="2802"/>
        <w:gridCol w:w="6662"/>
      </w:tblGrid>
      <w:tr w:rsidR="00934D96" w:rsidRPr="00934D96" w14:paraId="33CD3A38" w14:textId="77777777" w:rsidTr="00120B09">
        <w:trPr>
          <w:jc w:val="center"/>
        </w:trPr>
        <w:tc>
          <w:tcPr>
            <w:tcW w:w="2802" w:type="dxa"/>
            <w:shd w:val="clear" w:color="auto" w:fill="B6DDE8" w:themeFill="accent5" w:themeFillTint="66"/>
          </w:tcPr>
          <w:p w14:paraId="08C707C1" w14:textId="77777777" w:rsidR="00934D96" w:rsidRPr="00934D96" w:rsidRDefault="00934D96" w:rsidP="004A3DA5">
            <w:pPr>
              <w:tabs>
                <w:tab w:val="left" w:pos="1060"/>
              </w:tabs>
              <w:spacing w:before="45"/>
              <w:ind w:right="-54"/>
              <w:jc w:val="both"/>
              <w:rPr>
                <w:rFonts w:eastAsia="Swis721 BT" w:cs="Arial"/>
                <w:b/>
                <w:szCs w:val="20"/>
              </w:rPr>
            </w:pPr>
            <w:r w:rsidRPr="00934D96">
              <w:rPr>
                <w:rFonts w:eastAsia="Swis721 BT" w:cs="Arial"/>
                <w:b/>
                <w:szCs w:val="20"/>
              </w:rPr>
              <w:t>Applicant Name</w:t>
            </w:r>
          </w:p>
        </w:tc>
        <w:tc>
          <w:tcPr>
            <w:tcW w:w="6662" w:type="dxa"/>
          </w:tcPr>
          <w:p w14:paraId="5681274B" w14:textId="77777777" w:rsidR="00934D96" w:rsidRPr="00934D96" w:rsidRDefault="00934D96" w:rsidP="004A3DA5">
            <w:pPr>
              <w:tabs>
                <w:tab w:val="left" w:pos="1060"/>
              </w:tabs>
              <w:spacing w:before="45"/>
              <w:ind w:right="-54"/>
              <w:jc w:val="both"/>
              <w:rPr>
                <w:rFonts w:eastAsia="Swis721 BT" w:cs="Arial"/>
                <w:szCs w:val="20"/>
              </w:rPr>
            </w:pPr>
          </w:p>
        </w:tc>
      </w:tr>
      <w:tr w:rsidR="00934D96" w:rsidRPr="00934D96" w14:paraId="5AA5D0BD" w14:textId="77777777" w:rsidTr="00120B09">
        <w:trPr>
          <w:jc w:val="center"/>
        </w:trPr>
        <w:tc>
          <w:tcPr>
            <w:tcW w:w="2802" w:type="dxa"/>
            <w:shd w:val="clear" w:color="auto" w:fill="B6DDE8" w:themeFill="accent5" w:themeFillTint="66"/>
          </w:tcPr>
          <w:p w14:paraId="633F453E" w14:textId="77777777" w:rsidR="00934D96" w:rsidRPr="00934D96" w:rsidRDefault="00934D96" w:rsidP="004A3DA5">
            <w:pPr>
              <w:tabs>
                <w:tab w:val="left" w:pos="1060"/>
              </w:tabs>
              <w:spacing w:before="45"/>
              <w:ind w:right="-54"/>
              <w:jc w:val="both"/>
              <w:rPr>
                <w:rFonts w:eastAsia="Swis721 BT" w:cs="Arial"/>
                <w:b/>
                <w:szCs w:val="20"/>
              </w:rPr>
            </w:pPr>
            <w:r w:rsidRPr="00934D96">
              <w:rPr>
                <w:rFonts w:eastAsia="Swis721 BT" w:cs="Arial"/>
                <w:b/>
                <w:szCs w:val="20"/>
              </w:rPr>
              <w:t>AusIMM Membership No</w:t>
            </w:r>
          </w:p>
        </w:tc>
        <w:tc>
          <w:tcPr>
            <w:tcW w:w="6662" w:type="dxa"/>
          </w:tcPr>
          <w:p w14:paraId="0D503FA2" w14:textId="77777777" w:rsidR="00934D96" w:rsidRPr="00934D96" w:rsidRDefault="00934D96" w:rsidP="004A3DA5">
            <w:pPr>
              <w:tabs>
                <w:tab w:val="left" w:pos="1060"/>
              </w:tabs>
              <w:spacing w:before="45"/>
              <w:ind w:right="-54"/>
              <w:jc w:val="both"/>
              <w:rPr>
                <w:rFonts w:eastAsia="Swis721 BT" w:cs="Arial"/>
                <w:szCs w:val="20"/>
              </w:rPr>
            </w:pPr>
          </w:p>
        </w:tc>
      </w:tr>
    </w:tbl>
    <w:p w14:paraId="627B8C2D" w14:textId="77777777" w:rsidR="00BB525B" w:rsidRDefault="00BB525B" w:rsidP="00934D96">
      <w:pPr>
        <w:tabs>
          <w:tab w:val="left" w:pos="1060"/>
        </w:tabs>
        <w:spacing w:before="45" w:after="0" w:line="240" w:lineRule="auto"/>
        <w:ind w:right="-54"/>
        <w:jc w:val="both"/>
        <w:rPr>
          <w:rFonts w:eastAsia="Swis721 BT" w:cs="Arial"/>
          <w:b/>
          <w:sz w:val="28"/>
          <w:szCs w:val="20"/>
        </w:rPr>
      </w:pPr>
    </w:p>
    <w:p w14:paraId="38BD7649" w14:textId="77777777"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t>Section 1: What did you study?</w:t>
      </w:r>
    </w:p>
    <w:p w14:paraId="576FA37D" w14:textId="42E809B2" w:rsidR="00934D96" w:rsidRDefault="00934D96" w:rsidP="00934D96">
      <w:pPr>
        <w:tabs>
          <w:tab w:val="left" w:pos="1060"/>
        </w:tabs>
        <w:spacing w:before="45" w:after="0" w:line="240" w:lineRule="auto"/>
        <w:ind w:right="-54"/>
        <w:jc w:val="both"/>
        <w:rPr>
          <w:rFonts w:eastAsia="Swis721 BT" w:cs="Arial"/>
          <w:szCs w:val="20"/>
        </w:rPr>
      </w:pPr>
      <w:r w:rsidRPr="00934D96">
        <w:rPr>
          <w:rFonts w:eastAsia="Swis721 BT" w:cs="Arial"/>
          <w:szCs w:val="20"/>
        </w:rPr>
        <w:t>List your tertiary</w:t>
      </w:r>
      <w:r w:rsidRPr="00934D96">
        <w:rPr>
          <w:rFonts w:eastAsia="Swis721 BT" w:cs="Arial"/>
          <w:spacing w:val="1"/>
          <w:szCs w:val="20"/>
        </w:rPr>
        <w:t xml:space="preserve"> </w:t>
      </w:r>
      <w:r w:rsidRPr="00934D96">
        <w:rPr>
          <w:rFonts w:eastAsia="Swis721 BT" w:cs="Arial"/>
          <w:szCs w:val="20"/>
        </w:rPr>
        <w:t>qualification(s)</w:t>
      </w:r>
      <w:r w:rsidRPr="00934D96">
        <w:rPr>
          <w:rFonts w:eastAsia="Swis721 BT" w:cs="Arial"/>
          <w:spacing w:val="7"/>
          <w:szCs w:val="20"/>
        </w:rPr>
        <w:t xml:space="preserve"> </w:t>
      </w:r>
      <w:r w:rsidRPr="00934D96">
        <w:rPr>
          <w:rFonts w:eastAsia="Swis721 BT" w:cs="Arial"/>
          <w:szCs w:val="20"/>
        </w:rPr>
        <w:t xml:space="preserve">relevant to the discipline of </w:t>
      </w:r>
      <w:r w:rsidR="00D15316">
        <w:rPr>
          <w:rFonts w:eastAsia="Swis721 BT" w:cs="Arial"/>
          <w:szCs w:val="20"/>
        </w:rPr>
        <w:t>Social Performance</w:t>
      </w:r>
      <w:r w:rsidRPr="00934D96">
        <w:rPr>
          <w:rFonts w:eastAsia="Swis721 BT" w:cs="Arial"/>
          <w:szCs w:val="20"/>
        </w:rPr>
        <w:t xml:space="preserve">. Applicants without a relevant primary </w:t>
      </w:r>
      <w:r w:rsidR="00D15316">
        <w:rPr>
          <w:rFonts w:eastAsia="Swis721 BT" w:cs="Arial"/>
          <w:szCs w:val="20"/>
        </w:rPr>
        <w:t>Social Performance</w:t>
      </w:r>
      <w:r w:rsidRPr="00934D96">
        <w:rPr>
          <w:rFonts w:eastAsia="Swis721 BT" w:cs="Arial"/>
          <w:szCs w:val="20"/>
        </w:rPr>
        <w:t xml:space="preserve"> degree must list all key coursework that supports this application:</w:t>
      </w:r>
    </w:p>
    <w:p w14:paraId="70DFCB7F" w14:textId="77777777" w:rsidR="00120B09"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1.1</w:t>
      </w:r>
      <w:r>
        <w:rPr>
          <w:rFonts w:eastAsia="Swis721 BT" w:cs="Arial"/>
          <w:b/>
          <w:szCs w:val="20"/>
        </w:rPr>
        <w:t>: Qualifications</w:t>
      </w:r>
    </w:p>
    <w:tbl>
      <w:tblPr>
        <w:tblStyle w:val="TableGrid"/>
        <w:tblW w:w="13750" w:type="dxa"/>
        <w:tblInd w:w="108" w:type="dxa"/>
        <w:tblLook w:val="04A0" w:firstRow="1" w:lastRow="0" w:firstColumn="1" w:lastColumn="0" w:noHBand="0" w:noVBand="1"/>
      </w:tblPr>
      <w:tblGrid>
        <w:gridCol w:w="7088"/>
        <w:gridCol w:w="4394"/>
        <w:gridCol w:w="2268"/>
      </w:tblGrid>
      <w:tr w:rsidR="00934D96" w:rsidRPr="00934D96" w14:paraId="37EF6542" w14:textId="77777777" w:rsidTr="00120B09">
        <w:tc>
          <w:tcPr>
            <w:tcW w:w="7088" w:type="dxa"/>
            <w:shd w:val="clear" w:color="auto" w:fill="B6DDE8" w:themeFill="accent5" w:themeFillTint="66"/>
          </w:tcPr>
          <w:p w14:paraId="548EC637"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Qualification</w:t>
            </w:r>
          </w:p>
        </w:tc>
        <w:tc>
          <w:tcPr>
            <w:tcW w:w="4394" w:type="dxa"/>
            <w:shd w:val="clear" w:color="auto" w:fill="B6DDE8" w:themeFill="accent5" w:themeFillTint="66"/>
          </w:tcPr>
          <w:p w14:paraId="04570839"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19E316D3"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Year of Award</w:t>
            </w:r>
          </w:p>
        </w:tc>
      </w:tr>
      <w:tr w:rsidR="00934D96" w:rsidRPr="00934D96" w14:paraId="0DC21E92" w14:textId="77777777" w:rsidTr="004A3DA5">
        <w:tc>
          <w:tcPr>
            <w:tcW w:w="7088" w:type="dxa"/>
          </w:tcPr>
          <w:p w14:paraId="760C6F30" w14:textId="77777777" w:rsidR="00934D96" w:rsidRPr="00934D96" w:rsidRDefault="00934D96" w:rsidP="004A3DA5">
            <w:pPr>
              <w:spacing w:before="45"/>
              <w:ind w:right="-54"/>
              <w:jc w:val="both"/>
              <w:rPr>
                <w:rFonts w:eastAsia="Swis721 BT" w:cs="Arial"/>
                <w:szCs w:val="20"/>
              </w:rPr>
            </w:pPr>
          </w:p>
        </w:tc>
        <w:tc>
          <w:tcPr>
            <w:tcW w:w="4394" w:type="dxa"/>
          </w:tcPr>
          <w:p w14:paraId="561278F3" w14:textId="77777777" w:rsidR="00934D96" w:rsidRPr="00934D96" w:rsidRDefault="00934D96" w:rsidP="004A3DA5">
            <w:pPr>
              <w:spacing w:before="45"/>
              <w:ind w:right="-54"/>
              <w:jc w:val="both"/>
              <w:rPr>
                <w:rFonts w:eastAsia="Swis721 BT" w:cs="Arial"/>
                <w:szCs w:val="20"/>
              </w:rPr>
            </w:pPr>
          </w:p>
        </w:tc>
        <w:tc>
          <w:tcPr>
            <w:tcW w:w="2268" w:type="dxa"/>
          </w:tcPr>
          <w:p w14:paraId="1DB6ED81" w14:textId="77777777" w:rsidR="00934D96" w:rsidRPr="00934D96" w:rsidRDefault="00934D96" w:rsidP="004A3DA5">
            <w:pPr>
              <w:spacing w:before="45"/>
              <w:ind w:right="-54"/>
              <w:jc w:val="both"/>
              <w:rPr>
                <w:rFonts w:eastAsia="Swis721 BT" w:cs="Arial"/>
                <w:szCs w:val="20"/>
              </w:rPr>
            </w:pPr>
          </w:p>
        </w:tc>
      </w:tr>
      <w:tr w:rsidR="00934D96" w:rsidRPr="00934D96" w14:paraId="005C6714" w14:textId="77777777" w:rsidTr="004A3DA5">
        <w:tc>
          <w:tcPr>
            <w:tcW w:w="7088" w:type="dxa"/>
          </w:tcPr>
          <w:p w14:paraId="6B1B7D0F" w14:textId="77777777" w:rsidR="00934D96" w:rsidRPr="00934D96" w:rsidRDefault="00934D96" w:rsidP="004A3DA5">
            <w:pPr>
              <w:spacing w:before="45"/>
              <w:ind w:right="-54"/>
              <w:jc w:val="both"/>
              <w:rPr>
                <w:rFonts w:eastAsia="Swis721 BT" w:cs="Arial"/>
                <w:szCs w:val="20"/>
              </w:rPr>
            </w:pPr>
          </w:p>
        </w:tc>
        <w:tc>
          <w:tcPr>
            <w:tcW w:w="4394" w:type="dxa"/>
          </w:tcPr>
          <w:p w14:paraId="1899A73B" w14:textId="77777777" w:rsidR="00934D96" w:rsidRPr="00934D96" w:rsidRDefault="00934D96" w:rsidP="004A3DA5">
            <w:pPr>
              <w:spacing w:before="45"/>
              <w:ind w:right="-54"/>
              <w:jc w:val="both"/>
              <w:rPr>
                <w:rFonts w:eastAsia="Swis721 BT" w:cs="Arial"/>
                <w:szCs w:val="20"/>
              </w:rPr>
            </w:pPr>
          </w:p>
        </w:tc>
        <w:tc>
          <w:tcPr>
            <w:tcW w:w="2268" w:type="dxa"/>
          </w:tcPr>
          <w:p w14:paraId="59B142CC" w14:textId="77777777" w:rsidR="00934D96" w:rsidRPr="00934D96" w:rsidRDefault="00934D96" w:rsidP="004A3DA5">
            <w:pPr>
              <w:spacing w:before="45"/>
              <w:ind w:right="-54"/>
              <w:jc w:val="both"/>
              <w:rPr>
                <w:rFonts w:eastAsia="Swis721 BT" w:cs="Arial"/>
                <w:szCs w:val="20"/>
              </w:rPr>
            </w:pPr>
          </w:p>
        </w:tc>
      </w:tr>
      <w:tr w:rsidR="00C266B6" w:rsidRPr="00934D96" w14:paraId="3E1C34C6" w14:textId="77777777" w:rsidTr="004A3DA5">
        <w:tc>
          <w:tcPr>
            <w:tcW w:w="7088" w:type="dxa"/>
          </w:tcPr>
          <w:p w14:paraId="46F36614" w14:textId="77777777" w:rsidR="00C266B6" w:rsidRPr="00934D96" w:rsidRDefault="00C266B6" w:rsidP="004A3DA5">
            <w:pPr>
              <w:spacing w:before="45"/>
              <w:ind w:right="-54"/>
              <w:jc w:val="both"/>
              <w:rPr>
                <w:rFonts w:eastAsia="Swis721 BT" w:cs="Arial"/>
                <w:szCs w:val="20"/>
              </w:rPr>
            </w:pPr>
          </w:p>
        </w:tc>
        <w:tc>
          <w:tcPr>
            <w:tcW w:w="4394" w:type="dxa"/>
          </w:tcPr>
          <w:p w14:paraId="029FDA4C" w14:textId="77777777" w:rsidR="00C266B6" w:rsidRPr="00934D96" w:rsidRDefault="00C266B6" w:rsidP="004A3DA5">
            <w:pPr>
              <w:spacing w:before="45"/>
              <w:ind w:right="-54"/>
              <w:jc w:val="both"/>
              <w:rPr>
                <w:rFonts w:eastAsia="Swis721 BT" w:cs="Arial"/>
                <w:szCs w:val="20"/>
              </w:rPr>
            </w:pPr>
          </w:p>
        </w:tc>
        <w:tc>
          <w:tcPr>
            <w:tcW w:w="2268" w:type="dxa"/>
          </w:tcPr>
          <w:p w14:paraId="49863E98" w14:textId="77777777" w:rsidR="00C266B6" w:rsidRPr="00934D96" w:rsidRDefault="00C266B6" w:rsidP="004A3DA5">
            <w:pPr>
              <w:spacing w:before="45"/>
              <w:ind w:right="-54"/>
              <w:jc w:val="both"/>
              <w:rPr>
                <w:rFonts w:eastAsia="Swis721 BT" w:cs="Arial"/>
                <w:szCs w:val="20"/>
              </w:rPr>
            </w:pPr>
          </w:p>
        </w:tc>
      </w:tr>
      <w:tr w:rsidR="00934D96" w:rsidRPr="00934D96" w14:paraId="7E3CD4C9" w14:textId="77777777" w:rsidTr="004A3DA5">
        <w:tc>
          <w:tcPr>
            <w:tcW w:w="7088" w:type="dxa"/>
          </w:tcPr>
          <w:p w14:paraId="73EB0B02" w14:textId="77777777" w:rsidR="00934D96" w:rsidRPr="00934D96" w:rsidRDefault="00934D96" w:rsidP="004A3DA5">
            <w:pPr>
              <w:spacing w:before="45"/>
              <w:ind w:right="-54"/>
              <w:jc w:val="both"/>
              <w:rPr>
                <w:rFonts w:eastAsia="Swis721 BT" w:cs="Arial"/>
                <w:szCs w:val="20"/>
              </w:rPr>
            </w:pPr>
          </w:p>
        </w:tc>
        <w:tc>
          <w:tcPr>
            <w:tcW w:w="4394" w:type="dxa"/>
          </w:tcPr>
          <w:p w14:paraId="1B123408" w14:textId="77777777" w:rsidR="00934D96" w:rsidRPr="00934D96" w:rsidRDefault="00934D96" w:rsidP="004A3DA5">
            <w:pPr>
              <w:spacing w:before="45"/>
              <w:ind w:right="-54"/>
              <w:jc w:val="both"/>
              <w:rPr>
                <w:rFonts w:eastAsia="Swis721 BT" w:cs="Arial"/>
                <w:szCs w:val="20"/>
              </w:rPr>
            </w:pPr>
          </w:p>
        </w:tc>
        <w:tc>
          <w:tcPr>
            <w:tcW w:w="2268" w:type="dxa"/>
          </w:tcPr>
          <w:p w14:paraId="2462D2C7" w14:textId="77777777" w:rsidR="00934D96" w:rsidRPr="00934D96" w:rsidRDefault="00934D96" w:rsidP="004A3DA5">
            <w:pPr>
              <w:spacing w:before="45"/>
              <w:ind w:right="-54"/>
              <w:jc w:val="both"/>
              <w:rPr>
                <w:rFonts w:eastAsia="Swis721 BT" w:cs="Arial"/>
                <w:szCs w:val="20"/>
              </w:rPr>
            </w:pPr>
          </w:p>
        </w:tc>
      </w:tr>
      <w:tr w:rsidR="00934D96" w:rsidRPr="00934D96" w14:paraId="2513D904" w14:textId="77777777" w:rsidTr="004A3DA5">
        <w:tc>
          <w:tcPr>
            <w:tcW w:w="7088" w:type="dxa"/>
          </w:tcPr>
          <w:p w14:paraId="7EBC2192" w14:textId="510341C9" w:rsidR="00934D96" w:rsidRPr="00934D96" w:rsidRDefault="00934D96" w:rsidP="007C6C2A">
            <w:pPr>
              <w:spacing w:before="45"/>
              <w:ind w:right="-54"/>
              <w:jc w:val="both"/>
              <w:rPr>
                <w:rFonts w:eastAsia="Swis721 BT" w:cs="Arial"/>
                <w:szCs w:val="20"/>
              </w:rPr>
            </w:pPr>
          </w:p>
        </w:tc>
        <w:tc>
          <w:tcPr>
            <w:tcW w:w="4394" w:type="dxa"/>
          </w:tcPr>
          <w:p w14:paraId="1260D64D" w14:textId="77777777" w:rsidR="00934D96" w:rsidRPr="00934D96" w:rsidRDefault="00934D96" w:rsidP="004A3DA5">
            <w:pPr>
              <w:spacing w:before="45"/>
              <w:ind w:right="-54"/>
              <w:jc w:val="both"/>
              <w:rPr>
                <w:rFonts w:eastAsia="Swis721 BT" w:cs="Arial"/>
                <w:szCs w:val="20"/>
              </w:rPr>
            </w:pPr>
          </w:p>
        </w:tc>
        <w:tc>
          <w:tcPr>
            <w:tcW w:w="2268" w:type="dxa"/>
          </w:tcPr>
          <w:p w14:paraId="280A0FFB" w14:textId="77777777" w:rsidR="00934D96" w:rsidRPr="00934D96" w:rsidRDefault="00934D96" w:rsidP="004A3DA5">
            <w:pPr>
              <w:spacing w:before="45"/>
              <w:ind w:right="-54"/>
              <w:jc w:val="both"/>
              <w:rPr>
                <w:rFonts w:eastAsia="Swis721 BT" w:cs="Arial"/>
                <w:szCs w:val="20"/>
              </w:rPr>
            </w:pPr>
          </w:p>
        </w:tc>
      </w:tr>
    </w:tbl>
    <w:p w14:paraId="05793736"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1647D468" w14:textId="77777777" w:rsidR="00000CBE" w:rsidRDefault="00120B09" w:rsidP="00000CBE">
      <w:pPr>
        <w:tabs>
          <w:tab w:val="left" w:pos="1060"/>
          <w:tab w:val="left" w:pos="10206"/>
        </w:tabs>
        <w:spacing w:before="45" w:after="0" w:line="240" w:lineRule="auto"/>
        <w:ind w:right="-54"/>
        <w:jc w:val="both"/>
        <w:rPr>
          <w:rFonts w:eastAsia="Swis721 BT" w:cs="Arial"/>
          <w:szCs w:val="20"/>
        </w:rPr>
      </w:pPr>
      <w:r>
        <w:rPr>
          <w:rFonts w:eastAsia="Swis721 BT" w:cs="Arial"/>
          <w:szCs w:val="20"/>
        </w:rPr>
        <w:t>List any other (non-AusIMM) memberships of significance/relevance</w:t>
      </w:r>
      <w:r w:rsidR="00000CBE" w:rsidRPr="00000CBE">
        <w:rPr>
          <w:rFonts w:eastAsia="Swis721 BT" w:cs="Arial"/>
          <w:szCs w:val="20"/>
        </w:rPr>
        <w:t xml:space="preserve"> </w:t>
      </w:r>
      <w:r w:rsidR="00000CBE">
        <w:rPr>
          <w:rFonts w:eastAsia="Swis721 BT" w:cs="Arial"/>
          <w:szCs w:val="20"/>
        </w:rPr>
        <w:t>or relevant awards received:</w:t>
      </w:r>
    </w:p>
    <w:p w14:paraId="5CAC5FB0"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5BDFCED5" w14:textId="77777777" w:rsidR="00C65A2C" w:rsidRPr="00C65A2C" w:rsidRDefault="00C65A2C" w:rsidP="00934D96">
      <w:pPr>
        <w:tabs>
          <w:tab w:val="left" w:pos="1060"/>
          <w:tab w:val="left" w:pos="10206"/>
        </w:tabs>
        <w:spacing w:before="45" w:after="0" w:line="240" w:lineRule="auto"/>
        <w:ind w:right="-54"/>
        <w:jc w:val="both"/>
        <w:rPr>
          <w:rFonts w:eastAsia="Swis721 BT" w:cs="Arial"/>
          <w:b/>
          <w:szCs w:val="20"/>
        </w:rPr>
      </w:pPr>
      <w:r w:rsidRPr="00C65A2C">
        <w:rPr>
          <w:rFonts w:eastAsia="Swis721 BT" w:cs="Arial"/>
          <w:b/>
          <w:szCs w:val="20"/>
        </w:rPr>
        <w:t>Table 1.2: Memberships</w:t>
      </w:r>
      <w:r w:rsidR="00000CBE">
        <w:rPr>
          <w:rFonts w:eastAsia="Swis721 BT" w:cs="Arial"/>
          <w:b/>
          <w:szCs w:val="20"/>
        </w:rPr>
        <w:t xml:space="preserve"> and Awards</w:t>
      </w:r>
    </w:p>
    <w:tbl>
      <w:tblPr>
        <w:tblStyle w:val="TableGrid"/>
        <w:tblW w:w="13750" w:type="dxa"/>
        <w:tblInd w:w="108" w:type="dxa"/>
        <w:tblLook w:val="04A0" w:firstRow="1" w:lastRow="0" w:firstColumn="1" w:lastColumn="0" w:noHBand="0" w:noVBand="1"/>
      </w:tblPr>
      <w:tblGrid>
        <w:gridCol w:w="7088"/>
        <w:gridCol w:w="4394"/>
        <w:gridCol w:w="2268"/>
      </w:tblGrid>
      <w:tr w:rsidR="00120B09" w:rsidRPr="00934D96" w14:paraId="08BC3E18" w14:textId="77777777" w:rsidTr="00120B09">
        <w:tc>
          <w:tcPr>
            <w:tcW w:w="7088" w:type="dxa"/>
            <w:shd w:val="clear" w:color="auto" w:fill="B6DDE8" w:themeFill="accent5" w:themeFillTint="66"/>
          </w:tcPr>
          <w:p w14:paraId="340EB0CC" w14:textId="77777777" w:rsidR="00120B09" w:rsidRPr="00934D96" w:rsidRDefault="00120B09" w:rsidP="004A3DA5">
            <w:pPr>
              <w:spacing w:before="45"/>
              <w:ind w:right="-54"/>
              <w:jc w:val="both"/>
              <w:rPr>
                <w:rFonts w:eastAsia="Swis721 BT" w:cs="Arial"/>
                <w:b/>
                <w:szCs w:val="20"/>
              </w:rPr>
            </w:pPr>
            <w:r>
              <w:rPr>
                <w:rFonts w:eastAsia="Swis721 BT" w:cs="Arial"/>
                <w:b/>
                <w:szCs w:val="20"/>
              </w:rPr>
              <w:t>Membership of other relevant organisation</w:t>
            </w:r>
          </w:p>
        </w:tc>
        <w:tc>
          <w:tcPr>
            <w:tcW w:w="4394" w:type="dxa"/>
            <w:shd w:val="clear" w:color="auto" w:fill="B6DDE8" w:themeFill="accent5" w:themeFillTint="66"/>
          </w:tcPr>
          <w:p w14:paraId="32A15FC5"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73E3E45A"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Year of Award</w:t>
            </w:r>
          </w:p>
        </w:tc>
      </w:tr>
      <w:tr w:rsidR="00120B09" w:rsidRPr="00934D96" w14:paraId="26ABBAEE" w14:textId="77777777" w:rsidTr="004A3DA5">
        <w:tc>
          <w:tcPr>
            <w:tcW w:w="7088" w:type="dxa"/>
          </w:tcPr>
          <w:p w14:paraId="38A6D9B0" w14:textId="5B215B75" w:rsidR="00120B09" w:rsidRPr="00934D96" w:rsidRDefault="00120B09" w:rsidP="004A3DA5">
            <w:pPr>
              <w:spacing w:before="45"/>
              <w:ind w:right="-54"/>
              <w:jc w:val="both"/>
              <w:rPr>
                <w:rFonts w:eastAsia="Swis721 BT" w:cs="Arial"/>
                <w:szCs w:val="20"/>
              </w:rPr>
            </w:pPr>
          </w:p>
        </w:tc>
        <w:tc>
          <w:tcPr>
            <w:tcW w:w="4394" w:type="dxa"/>
          </w:tcPr>
          <w:p w14:paraId="73FA0CE7" w14:textId="77777777" w:rsidR="00120B09" w:rsidRPr="00934D96" w:rsidRDefault="00120B09" w:rsidP="004A3DA5">
            <w:pPr>
              <w:spacing w:before="45"/>
              <w:ind w:right="-54"/>
              <w:jc w:val="both"/>
              <w:rPr>
                <w:rFonts w:eastAsia="Swis721 BT" w:cs="Arial"/>
                <w:szCs w:val="20"/>
              </w:rPr>
            </w:pPr>
          </w:p>
        </w:tc>
        <w:tc>
          <w:tcPr>
            <w:tcW w:w="2268" w:type="dxa"/>
          </w:tcPr>
          <w:p w14:paraId="5ACDDD32" w14:textId="77777777" w:rsidR="00120B09" w:rsidRPr="00934D96" w:rsidRDefault="00120B09" w:rsidP="004A3DA5">
            <w:pPr>
              <w:spacing w:before="45"/>
              <w:ind w:right="-54"/>
              <w:jc w:val="both"/>
              <w:rPr>
                <w:rFonts w:eastAsia="Swis721 BT" w:cs="Arial"/>
                <w:szCs w:val="20"/>
              </w:rPr>
            </w:pPr>
          </w:p>
        </w:tc>
      </w:tr>
      <w:tr w:rsidR="00120B09" w:rsidRPr="00934D96" w14:paraId="6E3D3D2F" w14:textId="77777777" w:rsidTr="004A3DA5">
        <w:tc>
          <w:tcPr>
            <w:tcW w:w="7088" w:type="dxa"/>
          </w:tcPr>
          <w:p w14:paraId="252F084A" w14:textId="77777777" w:rsidR="00120B09" w:rsidRPr="00934D96" w:rsidRDefault="00120B09" w:rsidP="004A3DA5">
            <w:pPr>
              <w:spacing w:before="45"/>
              <w:ind w:right="-54"/>
              <w:jc w:val="both"/>
              <w:rPr>
                <w:rFonts w:eastAsia="Swis721 BT" w:cs="Arial"/>
                <w:szCs w:val="20"/>
              </w:rPr>
            </w:pPr>
          </w:p>
        </w:tc>
        <w:tc>
          <w:tcPr>
            <w:tcW w:w="4394" w:type="dxa"/>
          </w:tcPr>
          <w:p w14:paraId="185DD1D5" w14:textId="77777777" w:rsidR="00120B09" w:rsidRPr="00934D96" w:rsidRDefault="00120B09" w:rsidP="004A3DA5">
            <w:pPr>
              <w:spacing w:before="45"/>
              <w:ind w:right="-54"/>
              <w:jc w:val="both"/>
              <w:rPr>
                <w:rFonts w:eastAsia="Swis721 BT" w:cs="Arial"/>
                <w:szCs w:val="20"/>
              </w:rPr>
            </w:pPr>
          </w:p>
        </w:tc>
        <w:tc>
          <w:tcPr>
            <w:tcW w:w="2268" w:type="dxa"/>
          </w:tcPr>
          <w:p w14:paraId="62478EC6" w14:textId="77777777" w:rsidR="00120B09" w:rsidRPr="00934D96" w:rsidRDefault="00120B09" w:rsidP="004A3DA5">
            <w:pPr>
              <w:spacing w:before="45"/>
              <w:ind w:right="-54"/>
              <w:jc w:val="both"/>
              <w:rPr>
                <w:rFonts w:eastAsia="Swis721 BT" w:cs="Arial"/>
                <w:szCs w:val="20"/>
              </w:rPr>
            </w:pPr>
          </w:p>
        </w:tc>
      </w:tr>
      <w:tr w:rsidR="00120B09" w:rsidRPr="00934D96" w14:paraId="15BB741B" w14:textId="77777777" w:rsidTr="004A3DA5">
        <w:tc>
          <w:tcPr>
            <w:tcW w:w="7088" w:type="dxa"/>
          </w:tcPr>
          <w:p w14:paraId="3E612C8F" w14:textId="14C12709" w:rsidR="00120B09" w:rsidRPr="007C6C2A" w:rsidRDefault="00120B09" w:rsidP="004A3DA5">
            <w:pPr>
              <w:spacing w:before="45"/>
              <w:ind w:right="-54"/>
              <w:jc w:val="both"/>
              <w:rPr>
                <w:rFonts w:eastAsia="Swis721 BT" w:cs="Arial"/>
                <w:i/>
                <w:color w:val="A6A6A6" w:themeColor="background1" w:themeShade="A6"/>
                <w:szCs w:val="20"/>
              </w:rPr>
            </w:pPr>
          </w:p>
        </w:tc>
        <w:tc>
          <w:tcPr>
            <w:tcW w:w="4394" w:type="dxa"/>
          </w:tcPr>
          <w:p w14:paraId="30F746C9" w14:textId="77777777" w:rsidR="00120B09" w:rsidRPr="00934D96" w:rsidRDefault="00120B09" w:rsidP="004A3DA5">
            <w:pPr>
              <w:spacing w:before="45"/>
              <w:ind w:right="-54"/>
              <w:jc w:val="both"/>
              <w:rPr>
                <w:rFonts w:eastAsia="Swis721 BT" w:cs="Arial"/>
                <w:szCs w:val="20"/>
              </w:rPr>
            </w:pPr>
          </w:p>
        </w:tc>
        <w:tc>
          <w:tcPr>
            <w:tcW w:w="2268" w:type="dxa"/>
          </w:tcPr>
          <w:p w14:paraId="196368E2" w14:textId="77777777" w:rsidR="00120B09" w:rsidRPr="00934D96" w:rsidRDefault="00120B09" w:rsidP="004A3DA5">
            <w:pPr>
              <w:spacing w:before="45"/>
              <w:ind w:right="-54"/>
              <w:jc w:val="both"/>
              <w:rPr>
                <w:rFonts w:eastAsia="Swis721 BT" w:cs="Arial"/>
                <w:szCs w:val="20"/>
              </w:rPr>
            </w:pPr>
          </w:p>
        </w:tc>
      </w:tr>
      <w:tr w:rsidR="00C266B6" w:rsidRPr="00934D96" w14:paraId="38EE6F3E" w14:textId="77777777" w:rsidTr="004A3DA5">
        <w:tc>
          <w:tcPr>
            <w:tcW w:w="7088" w:type="dxa"/>
          </w:tcPr>
          <w:p w14:paraId="478063E7" w14:textId="77777777" w:rsidR="00C266B6" w:rsidRPr="007C6C2A" w:rsidRDefault="00C266B6" w:rsidP="004A3DA5">
            <w:pPr>
              <w:spacing w:before="45"/>
              <w:ind w:right="-54"/>
              <w:jc w:val="both"/>
              <w:rPr>
                <w:rFonts w:eastAsia="Swis721 BT" w:cs="Arial"/>
                <w:i/>
                <w:color w:val="A6A6A6" w:themeColor="background1" w:themeShade="A6"/>
                <w:szCs w:val="20"/>
              </w:rPr>
            </w:pPr>
          </w:p>
        </w:tc>
        <w:tc>
          <w:tcPr>
            <w:tcW w:w="4394" w:type="dxa"/>
          </w:tcPr>
          <w:p w14:paraId="23856BFD" w14:textId="77777777" w:rsidR="00C266B6" w:rsidRPr="00934D96" w:rsidRDefault="00C266B6" w:rsidP="004A3DA5">
            <w:pPr>
              <w:spacing w:before="45"/>
              <w:ind w:right="-54"/>
              <w:jc w:val="both"/>
              <w:rPr>
                <w:rFonts w:eastAsia="Swis721 BT" w:cs="Arial"/>
                <w:szCs w:val="20"/>
              </w:rPr>
            </w:pPr>
          </w:p>
        </w:tc>
        <w:tc>
          <w:tcPr>
            <w:tcW w:w="2268" w:type="dxa"/>
          </w:tcPr>
          <w:p w14:paraId="508C7EEF" w14:textId="77777777" w:rsidR="00C266B6" w:rsidRPr="00934D96" w:rsidRDefault="00C266B6" w:rsidP="004A3DA5">
            <w:pPr>
              <w:spacing w:before="45"/>
              <w:ind w:right="-54"/>
              <w:jc w:val="both"/>
              <w:rPr>
                <w:rFonts w:eastAsia="Swis721 BT" w:cs="Arial"/>
                <w:szCs w:val="20"/>
              </w:rPr>
            </w:pPr>
          </w:p>
        </w:tc>
      </w:tr>
      <w:tr w:rsidR="00C266B6" w:rsidRPr="00934D96" w14:paraId="171A0BD1" w14:textId="77777777" w:rsidTr="004A3DA5">
        <w:tc>
          <w:tcPr>
            <w:tcW w:w="7088" w:type="dxa"/>
          </w:tcPr>
          <w:p w14:paraId="66A2B379" w14:textId="77777777" w:rsidR="00C266B6" w:rsidRPr="007C6C2A" w:rsidRDefault="00C266B6" w:rsidP="004A3DA5">
            <w:pPr>
              <w:spacing w:before="45"/>
              <w:ind w:right="-54"/>
              <w:jc w:val="both"/>
              <w:rPr>
                <w:rFonts w:eastAsia="Swis721 BT" w:cs="Arial"/>
                <w:i/>
                <w:color w:val="A6A6A6" w:themeColor="background1" w:themeShade="A6"/>
                <w:szCs w:val="20"/>
              </w:rPr>
            </w:pPr>
          </w:p>
        </w:tc>
        <w:tc>
          <w:tcPr>
            <w:tcW w:w="4394" w:type="dxa"/>
          </w:tcPr>
          <w:p w14:paraId="0ACC232B" w14:textId="77777777" w:rsidR="00C266B6" w:rsidRPr="00934D96" w:rsidRDefault="00C266B6" w:rsidP="004A3DA5">
            <w:pPr>
              <w:spacing w:before="45"/>
              <w:ind w:right="-54"/>
              <w:jc w:val="both"/>
              <w:rPr>
                <w:rFonts w:eastAsia="Swis721 BT" w:cs="Arial"/>
                <w:szCs w:val="20"/>
              </w:rPr>
            </w:pPr>
          </w:p>
        </w:tc>
        <w:tc>
          <w:tcPr>
            <w:tcW w:w="2268" w:type="dxa"/>
          </w:tcPr>
          <w:p w14:paraId="546DE5E9" w14:textId="77777777" w:rsidR="00C266B6" w:rsidRPr="00934D96" w:rsidRDefault="00C266B6" w:rsidP="004A3DA5">
            <w:pPr>
              <w:spacing w:before="45"/>
              <w:ind w:right="-54"/>
              <w:jc w:val="both"/>
              <w:rPr>
                <w:rFonts w:eastAsia="Swis721 BT" w:cs="Arial"/>
                <w:szCs w:val="20"/>
              </w:rPr>
            </w:pPr>
          </w:p>
        </w:tc>
      </w:tr>
      <w:tr w:rsidR="00C266B6" w:rsidRPr="00934D96" w14:paraId="3C11DFBD" w14:textId="77777777" w:rsidTr="004A3DA5">
        <w:tc>
          <w:tcPr>
            <w:tcW w:w="7088" w:type="dxa"/>
          </w:tcPr>
          <w:p w14:paraId="330550E5" w14:textId="77777777" w:rsidR="00C266B6" w:rsidRPr="007C6C2A" w:rsidRDefault="00C266B6" w:rsidP="004A3DA5">
            <w:pPr>
              <w:spacing w:before="45"/>
              <w:ind w:right="-54"/>
              <w:jc w:val="both"/>
              <w:rPr>
                <w:rFonts w:eastAsia="Swis721 BT" w:cs="Arial"/>
                <w:i/>
                <w:color w:val="A6A6A6" w:themeColor="background1" w:themeShade="A6"/>
                <w:szCs w:val="20"/>
              </w:rPr>
            </w:pPr>
          </w:p>
        </w:tc>
        <w:tc>
          <w:tcPr>
            <w:tcW w:w="4394" w:type="dxa"/>
          </w:tcPr>
          <w:p w14:paraId="6DFD2AEB" w14:textId="77777777" w:rsidR="00C266B6" w:rsidRPr="00934D96" w:rsidRDefault="00C266B6" w:rsidP="004A3DA5">
            <w:pPr>
              <w:spacing w:before="45"/>
              <w:ind w:right="-54"/>
              <w:jc w:val="both"/>
              <w:rPr>
                <w:rFonts w:eastAsia="Swis721 BT" w:cs="Arial"/>
                <w:szCs w:val="20"/>
              </w:rPr>
            </w:pPr>
          </w:p>
        </w:tc>
        <w:tc>
          <w:tcPr>
            <w:tcW w:w="2268" w:type="dxa"/>
          </w:tcPr>
          <w:p w14:paraId="24646F63" w14:textId="77777777" w:rsidR="00C266B6" w:rsidRPr="00934D96" w:rsidRDefault="00C266B6" w:rsidP="004A3DA5">
            <w:pPr>
              <w:spacing w:before="45"/>
              <w:ind w:right="-54"/>
              <w:jc w:val="both"/>
              <w:rPr>
                <w:rFonts w:eastAsia="Swis721 BT" w:cs="Arial"/>
                <w:szCs w:val="20"/>
              </w:rPr>
            </w:pPr>
          </w:p>
        </w:tc>
      </w:tr>
    </w:tbl>
    <w:p w14:paraId="7CE2877C" w14:textId="77777777" w:rsidR="00C266B6" w:rsidRDefault="00C266B6">
      <w:pPr>
        <w:rPr>
          <w:rFonts w:eastAsia="Swis721 BT" w:cs="Arial"/>
          <w:b/>
          <w:sz w:val="28"/>
          <w:szCs w:val="20"/>
        </w:rPr>
      </w:pPr>
      <w:r>
        <w:rPr>
          <w:rFonts w:eastAsia="Swis721 BT" w:cs="Arial"/>
          <w:b/>
          <w:sz w:val="28"/>
          <w:szCs w:val="20"/>
        </w:rPr>
        <w:br w:type="page"/>
      </w:r>
    </w:p>
    <w:p w14:paraId="6DDA935F" w14:textId="72B3F59D"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lastRenderedPageBreak/>
        <w:t>Section 2: How have you applied this knowledge and where did you do this?</w:t>
      </w:r>
    </w:p>
    <w:p w14:paraId="75548344" w14:textId="022010FD" w:rsidR="00934D96" w:rsidRDefault="00934D96" w:rsidP="00934D96">
      <w:pPr>
        <w:tabs>
          <w:tab w:val="left" w:pos="1060"/>
        </w:tabs>
        <w:spacing w:before="45" w:after="0" w:line="240" w:lineRule="auto"/>
        <w:ind w:right="-54"/>
        <w:jc w:val="both"/>
        <w:rPr>
          <w:rFonts w:eastAsia="Swis721 BT" w:cs="Arial"/>
          <w:szCs w:val="20"/>
        </w:rPr>
      </w:pPr>
      <w:r w:rsidRPr="00934D96">
        <w:rPr>
          <w:rFonts w:eastAsia="Swis721 BT" w:cs="Arial"/>
          <w:szCs w:val="20"/>
        </w:rPr>
        <w:t>Summarise</w:t>
      </w:r>
      <w:r w:rsidR="007C6C2A">
        <w:rPr>
          <w:rFonts w:eastAsia="Swis721 BT" w:cs="Arial"/>
          <w:szCs w:val="20"/>
        </w:rPr>
        <w:t xml:space="preserve"> your </w:t>
      </w:r>
      <w:r w:rsidR="00120B09">
        <w:rPr>
          <w:rFonts w:eastAsia="Swis721 BT" w:cs="Arial"/>
          <w:szCs w:val="20"/>
        </w:rPr>
        <w:t xml:space="preserve">work </w:t>
      </w:r>
      <w:r w:rsidRPr="00934D96">
        <w:rPr>
          <w:rFonts w:eastAsia="Swis721 BT" w:cs="Arial"/>
          <w:szCs w:val="20"/>
        </w:rPr>
        <w:t>experience</w:t>
      </w:r>
      <w:r w:rsidR="007C6C2A" w:rsidRPr="007C6C2A">
        <w:rPr>
          <w:rFonts w:eastAsia="Swis721 BT" w:cs="Arial"/>
          <w:szCs w:val="20"/>
        </w:rPr>
        <w:t xml:space="preserve"> </w:t>
      </w:r>
      <w:r w:rsidR="007C6C2A" w:rsidRPr="00934D96">
        <w:rPr>
          <w:rFonts w:eastAsia="Swis721 BT" w:cs="Arial"/>
          <w:szCs w:val="20"/>
        </w:rPr>
        <w:t>relevant</w:t>
      </w:r>
      <w:r w:rsidR="007C6C2A" w:rsidRPr="007C6C2A">
        <w:rPr>
          <w:rFonts w:eastAsia="Swis721 BT" w:cs="Arial"/>
          <w:szCs w:val="20"/>
        </w:rPr>
        <w:t xml:space="preserve"> </w:t>
      </w:r>
      <w:r w:rsidR="007C6C2A" w:rsidRPr="00934D96">
        <w:rPr>
          <w:rFonts w:eastAsia="Swis721 BT" w:cs="Arial"/>
          <w:szCs w:val="20"/>
        </w:rPr>
        <w:t xml:space="preserve">to the Discipline of </w:t>
      </w:r>
      <w:r w:rsidR="00112A19">
        <w:rPr>
          <w:rFonts w:eastAsia="Swis721 BT" w:cs="Arial"/>
          <w:szCs w:val="20"/>
        </w:rPr>
        <w:t>Social Performance</w:t>
      </w:r>
      <w:r w:rsidR="007C6C2A">
        <w:rPr>
          <w:rFonts w:eastAsia="Swis721 BT" w:cs="Arial"/>
          <w:szCs w:val="20"/>
        </w:rPr>
        <w:t xml:space="preserve">, including the </w:t>
      </w:r>
      <w:r w:rsidRPr="00934D96">
        <w:rPr>
          <w:rFonts w:eastAsia="Swis721 BT" w:cs="Arial"/>
          <w:szCs w:val="20"/>
        </w:rPr>
        <w:t>location, employer and role</w:t>
      </w:r>
      <w:r w:rsidR="007C6C2A">
        <w:rPr>
          <w:rFonts w:eastAsia="Swis721 BT" w:cs="Arial"/>
          <w:szCs w:val="20"/>
        </w:rPr>
        <w:t xml:space="preserve"> description</w:t>
      </w:r>
      <w:r w:rsidRPr="00934D96">
        <w:rPr>
          <w:rFonts w:eastAsia="Swis721 BT" w:cs="Arial"/>
          <w:szCs w:val="20"/>
        </w:rPr>
        <w:t>:</w:t>
      </w:r>
    </w:p>
    <w:p w14:paraId="463CCD4D" w14:textId="77777777" w:rsidR="00120B09" w:rsidRDefault="00120B09" w:rsidP="00934D96">
      <w:pPr>
        <w:tabs>
          <w:tab w:val="left" w:pos="1060"/>
        </w:tabs>
        <w:spacing w:before="45" w:after="0" w:line="240" w:lineRule="auto"/>
        <w:ind w:right="-54"/>
        <w:jc w:val="both"/>
        <w:rPr>
          <w:rFonts w:eastAsia="Swis721 BT" w:cs="Arial"/>
          <w:szCs w:val="20"/>
        </w:rPr>
      </w:pPr>
    </w:p>
    <w:p w14:paraId="259CD7B8" w14:textId="77777777" w:rsidR="00C65A2C"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2: Work experience</w:t>
      </w:r>
      <w:r>
        <w:rPr>
          <w:rFonts w:eastAsia="Swis721 BT" w:cs="Arial"/>
          <w:b/>
          <w:szCs w:val="20"/>
        </w:rPr>
        <w:t xml:space="preserve"> in Discipline</w:t>
      </w:r>
    </w:p>
    <w:tbl>
      <w:tblPr>
        <w:tblStyle w:val="TableGrid1"/>
        <w:tblW w:w="13750" w:type="dxa"/>
        <w:tblInd w:w="108" w:type="dxa"/>
        <w:tblLook w:val="04A0" w:firstRow="1" w:lastRow="0" w:firstColumn="1" w:lastColumn="0" w:noHBand="0" w:noVBand="1"/>
      </w:tblPr>
      <w:tblGrid>
        <w:gridCol w:w="958"/>
        <w:gridCol w:w="926"/>
        <w:gridCol w:w="3786"/>
        <w:gridCol w:w="2977"/>
        <w:gridCol w:w="5103"/>
      </w:tblGrid>
      <w:tr w:rsidR="00934D96" w:rsidRPr="00934D96" w14:paraId="121D6DEE" w14:textId="77777777" w:rsidTr="00120B09">
        <w:tc>
          <w:tcPr>
            <w:tcW w:w="958" w:type="dxa"/>
            <w:shd w:val="clear" w:color="auto" w:fill="B6DDE8" w:themeFill="accent5" w:themeFillTint="66"/>
          </w:tcPr>
          <w:p w14:paraId="0D0C7208"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From</w:t>
            </w:r>
          </w:p>
        </w:tc>
        <w:tc>
          <w:tcPr>
            <w:tcW w:w="926" w:type="dxa"/>
            <w:shd w:val="clear" w:color="auto" w:fill="B6DDE8" w:themeFill="accent5" w:themeFillTint="66"/>
          </w:tcPr>
          <w:p w14:paraId="317F5B9F"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To</w:t>
            </w:r>
          </w:p>
        </w:tc>
        <w:tc>
          <w:tcPr>
            <w:tcW w:w="3786" w:type="dxa"/>
            <w:shd w:val="clear" w:color="auto" w:fill="B6DDE8" w:themeFill="accent5" w:themeFillTint="66"/>
          </w:tcPr>
          <w:p w14:paraId="7DEABDDF" w14:textId="77777777" w:rsidR="00934D96" w:rsidRPr="00934D96" w:rsidRDefault="00934D96" w:rsidP="004A3DA5">
            <w:pPr>
              <w:spacing w:before="45"/>
              <w:ind w:right="-54"/>
              <w:rPr>
                <w:rFonts w:eastAsia="Swis721 BT" w:cs="Arial"/>
                <w:b/>
                <w:szCs w:val="20"/>
              </w:rPr>
            </w:pPr>
            <w:r w:rsidRPr="00934D96">
              <w:rPr>
                <w:rFonts w:eastAsia="Swis721 BT" w:cs="Arial"/>
                <w:b/>
                <w:szCs w:val="20"/>
              </w:rPr>
              <w:t>Location and Commodity/ies</w:t>
            </w:r>
          </w:p>
        </w:tc>
        <w:tc>
          <w:tcPr>
            <w:tcW w:w="2977" w:type="dxa"/>
            <w:shd w:val="clear" w:color="auto" w:fill="B6DDE8" w:themeFill="accent5" w:themeFillTint="66"/>
          </w:tcPr>
          <w:p w14:paraId="31830F6B"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Employer</w:t>
            </w:r>
          </w:p>
        </w:tc>
        <w:tc>
          <w:tcPr>
            <w:tcW w:w="5103" w:type="dxa"/>
            <w:shd w:val="clear" w:color="auto" w:fill="B6DDE8" w:themeFill="accent5" w:themeFillTint="66"/>
          </w:tcPr>
          <w:p w14:paraId="0BF35C02"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Role(s)</w:t>
            </w:r>
          </w:p>
        </w:tc>
      </w:tr>
      <w:tr w:rsidR="00934D96" w:rsidRPr="00934D96" w14:paraId="60EB7283" w14:textId="77777777" w:rsidTr="004A3DA5">
        <w:tc>
          <w:tcPr>
            <w:tcW w:w="958" w:type="dxa"/>
          </w:tcPr>
          <w:p w14:paraId="4F65F5AB" w14:textId="77777777" w:rsidR="00934D96" w:rsidRPr="00934D96" w:rsidRDefault="00934D96" w:rsidP="004A3DA5">
            <w:pPr>
              <w:spacing w:before="45"/>
              <w:ind w:right="-54"/>
              <w:jc w:val="both"/>
              <w:rPr>
                <w:rFonts w:eastAsia="Swis721 BT" w:cs="Arial"/>
                <w:szCs w:val="20"/>
              </w:rPr>
            </w:pPr>
          </w:p>
        </w:tc>
        <w:tc>
          <w:tcPr>
            <w:tcW w:w="926" w:type="dxa"/>
          </w:tcPr>
          <w:p w14:paraId="158E818F" w14:textId="77777777" w:rsidR="00934D96" w:rsidRPr="00934D96" w:rsidRDefault="00934D96" w:rsidP="004A3DA5">
            <w:pPr>
              <w:spacing w:before="45"/>
              <w:ind w:right="-54"/>
              <w:jc w:val="both"/>
              <w:rPr>
                <w:rFonts w:eastAsia="Swis721 BT" w:cs="Arial"/>
                <w:szCs w:val="20"/>
              </w:rPr>
            </w:pPr>
          </w:p>
        </w:tc>
        <w:tc>
          <w:tcPr>
            <w:tcW w:w="3786" w:type="dxa"/>
          </w:tcPr>
          <w:p w14:paraId="170CF5A9" w14:textId="77777777" w:rsidR="00934D96" w:rsidRPr="00934D96" w:rsidRDefault="00934D96" w:rsidP="004A3DA5">
            <w:pPr>
              <w:spacing w:before="45"/>
              <w:ind w:right="-54"/>
              <w:jc w:val="both"/>
              <w:rPr>
                <w:rFonts w:eastAsia="Swis721 BT" w:cs="Arial"/>
                <w:szCs w:val="20"/>
              </w:rPr>
            </w:pPr>
          </w:p>
          <w:p w14:paraId="67391C66" w14:textId="77777777" w:rsidR="00934D96" w:rsidRPr="00934D96" w:rsidRDefault="00934D96" w:rsidP="004A3DA5">
            <w:pPr>
              <w:spacing w:before="45"/>
              <w:ind w:right="-54"/>
              <w:jc w:val="both"/>
              <w:rPr>
                <w:rFonts w:eastAsia="Swis721 BT" w:cs="Arial"/>
                <w:szCs w:val="20"/>
              </w:rPr>
            </w:pPr>
          </w:p>
        </w:tc>
        <w:tc>
          <w:tcPr>
            <w:tcW w:w="2977" w:type="dxa"/>
          </w:tcPr>
          <w:p w14:paraId="15036440" w14:textId="77777777" w:rsidR="00934D96" w:rsidRPr="00934D96" w:rsidRDefault="00934D96" w:rsidP="004A3DA5">
            <w:pPr>
              <w:spacing w:before="45"/>
              <w:ind w:right="-54"/>
              <w:jc w:val="both"/>
              <w:rPr>
                <w:rFonts w:eastAsia="Swis721 BT" w:cs="Arial"/>
                <w:szCs w:val="20"/>
              </w:rPr>
            </w:pPr>
          </w:p>
        </w:tc>
        <w:tc>
          <w:tcPr>
            <w:tcW w:w="5103" w:type="dxa"/>
          </w:tcPr>
          <w:p w14:paraId="3E29B401" w14:textId="77777777" w:rsidR="00934D96" w:rsidRPr="00934D96" w:rsidRDefault="00934D96" w:rsidP="004A3DA5">
            <w:pPr>
              <w:spacing w:before="45"/>
              <w:ind w:right="-54"/>
              <w:jc w:val="both"/>
              <w:rPr>
                <w:rFonts w:eastAsia="Swis721 BT" w:cs="Arial"/>
                <w:szCs w:val="20"/>
              </w:rPr>
            </w:pPr>
          </w:p>
        </w:tc>
      </w:tr>
      <w:tr w:rsidR="00C266B6" w:rsidRPr="00934D96" w14:paraId="4638B13A" w14:textId="77777777" w:rsidTr="004A3DA5">
        <w:tc>
          <w:tcPr>
            <w:tcW w:w="958" w:type="dxa"/>
          </w:tcPr>
          <w:p w14:paraId="2F056A75" w14:textId="77777777" w:rsidR="00C266B6" w:rsidRDefault="00C266B6" w:rsidP="004A3DA5">
            <w:pPr>
              <w:spacing w:before="45"/>
              <w:ind w:right="-54"/>
              <w:jc w:val="both"/>
              <w:rPr>
                <w:rFonts w:eastAsia="Swis721 BT" w:cs="Arial"/>
                <w:szCs w:val="20"/>
              </w:rPr>
            </w:pPr>
          </w:p>
          <w:p w14:paraId="5EC2BBAD" w14:textId="07F3CCD3" w:rsidR="00C266B6" w:rsidRPr="00934D96" w:rsidRDefault="00C266B6" w:rsidP="004A3DA5">
            <w:pPr>
              <w:spacing w:before="45"/>
              <w:ind w:right="-54"/>
              <w:jc w:val="both"/>
              <w:rPr>
                <w:rFonts w:eastAsia="Swis721 BT" w:cs="Arial"/>
                <w:szCs w:val="20"/>
              </w:rPr>
            </w:pPr>
          </w:p>
        </w:tc>
        <w:tc>
          <w:tcPr>
            <w:tcW w:w="926" w:type="dxa"/>
          </w:tcPr>
          <w:p w14:paraId="6FA6BF6D" w14:textId="77777777" w:rsidR="00C266B6" w:rsidRPr="00934D96" w:rsidRDefault="00C266B6" w:rsidP="004A3DA5">
            <w:pPr>
              <w:spacing w:before="45"/>
              <w:ind w:right="-54"/>
              <w:jc w:val="both"/>
              <w:rPr>
                <w:rFonts w:eastAsia="Swis721 BT" w:cs="Arial"/>
                <w:szCs w:val="20"/>
              </w:rPr>
            </w:pPr>
          </w:p>
        </w:tc>
        <w:tc>
          <w:tcPr>
            <w:tcW w:w="3786" w:type="dxa"/>
          </w:tcPr>
          <w:p w14:paraId="6B0AA1CB" w14:textId="77777777" w:rsidR="00C266B6" w:rsidRPr="00934D96" w:rsidRDefault="00C266B6" w:rsidP="004A3DA5">
            <w:pPr>
              <w:spacing w:before="45"/>
              <w:ind w:right="-54"/>
              <w:jc w:val="both"/>
              <w:rPr>
                <w:rFonts w:eastAsia="Swis721 BT" w:cs="Arial"/>
                <w:szCs w:val="20"/>
              </w:rPr>
            </w:pPr>
          </w:p>
        </w:tc>
        <w:tc>
          <w:tcPr>
            <w:tcW w:w="2977" w:type="dxa"/>
          </w:tcPr>
          <w:p w14:paraId="11EDE9DA" w14:textId="77777777" w:rsidR="00C266B6" w:rsidRPr="00934D96" w:rsidRDefault="00C266B6" w:rsidP="004A3DA5">
            <w:pPr>
              <w:spacing w:before="45"/>
              <w:ind w:right="-54"/>
              <w:jc w:val="both"/>
              <w:rPr>
                <w:rFonts w:eastAsia="Swis721 BT" w:cs="Arial"/>
                <w:szCs w:val="20"/>
              </w:rPr>
            </w:pPr>
          </w:p>
        </w:tc>
        <w:tc>
          <w:tcPr>
            <w:tcW w:w="5103" w:type="dxa"/>
          </w:tcPr>
          <w:p w14:paraId="6F310278" w14:textId="77777777" w:rsidR="00C266B6" w:rsidRPr="00934D96" w:rsidRDefault="00C266B6" w:rsidP="004A3DA5">
            <w:pPr>
              <w:spacing w:before="45"/>
              <w:ind w:right="-54"/>
              <w:jc w:val="both"/>
              <w:rPr>
                <w:rFonts w:eastAsia="Swis721 BT" w:cs="Arial"/>
                <w:szCs w:val="20"/>
              </w:rPr>
            </w:pPr>
          </w:p>
        </w:tc>
      </w:tr>
      <w:tr w:rsidR="00934D96" w:rsidRPr="00934D96" w14:paraId="5FDD75FC" w14:textId="77777777" w:rsidTr="004A3DA5">
        <w:tc>
          <w:tcPr>
            <w:tcW w:w="958" w:type="dxa"/>
          </w:tcPr>
          <w:p w14:paraId="4394F7DD" w14:textId="77777777" w:rsidR="00934D96" w:rsidRPr="00934D96" w:rsidRDefault="00934D96" w:rsidP="004A3DA5">
            <w:pPr>
              <w:spacing w:before="45"/>
              <w:ind w:right="-54"/>
              <w:jc w:val="both"/>
              <w:rPr>
                <w:rFonts w:eastAsia="Swis721 BT" w:cs="Arial"/>
                <w:szCs w:val="20"/>
              </w:rPr>
            </w:pPr>
          </w:p>
        </w:tc>
        <w:tc>
          <w:tcPr>
            <w:tcW w:w="926" w:type="dxa"/>
          </w:tcPr>
          <w:p w14:paraId="44F59ED2" w14:textId="77777777" w:rsidR="00934D96" w:rsidRPr="00934D96" w:rsidRDefault="00934D96" w:rsidP="004A3DA5">
            <w:pPr>
              <w:spacing w:before="45"/>
              <w:ind w:right="-54"/>
              <w:jc w:val="both"/>
              <w:rPr>
                <w:rFonts w:eastAsia="Swis721 BT" w:cs="Arial"/>
                <w:szCs w:val="20"/>
              </w:rPr>
            </w:pPr>
          </w:p>
        </w:tc>
        <w:tc>
          <w:tcPr>
            <w:tcW w:w="3786" w:type="dxa"/>
          </w:tcPr>
          <w:p w14:paraId="1DDAA759" w14:textId="77777777" w:rsidR="00934D96" w:rsidRPr="00934D96" w:rsidRDefault="00934D96" w:rsidP="004A3DA5">
            <w:pPr>
              <w:spacing w:before="45"/>
              <w:ind w:right="-54"/>
              <w:jc w:val="both"/>
              <w:rPr>
                <w:rFonts w:eastAsia="Swis721 BT" w:cs="Arial"/>
                <w:szCs w:val="20"/>
              </w:rPr>
            </w:pPr>
          </w:p>
          <w:p w14:paraId="6852B8A1" w14:textId="77777777" w:rsidR="00934D96" w:rsidRPr="00934D96" w:rsidRDefault="00934D96" w:rsidP="004A3DA5">
            <w:pPr>
              <w:spacing w:before="45"/>
              <w:ind w:right="-54"/>
              <w:jc w:val="both"/>
              <w:rPr>
                <w:rFonts w:eastAsia="Swis721 BT" w:cs="Arial"/>
                <w:szCs w:val="20"/>
              </w:rPr>
            </w:pPr>
          </w:p>
        </w:tc>
        <w:tc>
          <w:tcPr>
            <w:tcW w:w="2977" w:type="dxa"/>
          </w:tcPr>
          <w:p w14:paraId="4881D446" w14:textId="77777777" w:rsidR="00934D96" w:rsidRPr="00934D96" w:rsidRDefault="00934D96" w:rsidP="004A3DA5">
            <w:pPr>
              <w:spacing w:before="45"/>
              <w:ind w:right="-54"/>
              <w:jc w:val="both"/>
              <w:rPr>
                <w:rFonts w:eastAsia="Swis721 BT" w:cs="Arial"/>
                <w:szCs w:val="20"/>
              </w:rPr>
            </w:pPr>
          </w:p>
        </w:tc>
        <w:tc>
          <w:tcPr>
            <w:tcW w:w="5103" w:type="dxa"/>
          </w:tcPr>
          <w:p w14:paraId="37B96ED3" w14:textId="77777777" w:rsidR="00934D96" w:rsidRPr="00934D96" w:rsidRDefault="00934D96" w:rsidP="004A3DA5">
            <w:pPr>
              <w:spacing w:before="45"/>
              <w:ind w:right="-54"/>
              <w:jc w:val="both"/>
              <w:rPr>
                <w:rFonts w:eastAsia="Swis721 BT" w:cs="Arial"/>
                <w:szCs w:val="20"/>
              </w:rPr>
            </w:pPr>
          </w:p>
        </w:tc>
      </w:tr>
      <w:tr w:rsidR="00934D96" w:rsidRPr="00934D96" w14:paraId="399BF5D0" w14:textId="77777777" w:rsidTr="004A3DA5">
        <w:tc>
          <w:tcPr>
            <w:tcW w:w="958" w:type="dxa"/>
          </w:tcPr>
          <w:p w14:paraId="4E041C83" w14:textId="77777777" w:rsidR="00934D96" w:rsidRPr="00934D96" w:rsidRDefault="00934D96" w:rsidP="004A3DA5">
            <w:pPr>
              <w:spacing w:before="45"/>
              <w:ind w:right="-54"/>
              <w:jc w:val="both"/>
              <w:rPr>
                <w:rFonts w:eastAsia="Swis721 BT" w:cs="Arial"/>
                <w:szCs w:val="20"/>
              </w:rPr>
            </w:pPr>
          </w:p>
        </w:tc>
        <w:tc>
          <w:tcPr>
            <w:tcW w:w="926" w:type="dxa"/>
          </w:tcPr>
          <w:p w14:paraId="0EC6B0E0" w14:textId="77777777" w:rsidR="00934D96" w:rsidRPr="00934D96" w:rsidRDefault="00934D96" w:rsidP="004A3DA5">
            <w:pPr>
              <w:spacing w:before="45"/>
              <w:ind w:right="-54"/>
              <w:jc w:val="both"/>
              <w:rPr>
                <w:rFonts w:eastAsia="Swis721 BT" w:cs="Arial"/>
                <w:szCs w:val="20"/>
              </w:rPr>
            </w:pPr>
          </w:p>
        </w:tc>
        <w:tc>
          <w:tcPr>
            <w:tcW w:w="3786" w:type="dxa"/>
          </w:tcPr>
          <w:p w14:paraId="777C2856" w14:textId="77777777" w:rsidR="00934D96" w:rsidRPr="00934D96" w:rsidRDefault="00934D96" w:rsidP="004A3DA5">
            <w:pPr>
              <w:spacing w:before="45"/>
              <w:ind w:right="-54"/>
              <w:jc w:val="both"/>
              <w:rPr>
                <w:rFonts w:eastAsia="Swis721 BT" w:cs="Arial"/>
                <w:szCs w:val="20"/>
              </w:rPr>
            </w:pPr>
          </w:p>
          <w:p w14:paraId="71245676" w14:textId="77777777" w:rsidR="00934D96" w:rsidRPr="00934D96" w:rsidRDefault="00934D96" w:rsidP="004A3DA5">
            <w:pPr>
              <w:spacing w:before="45"/>
              <w:ind w:right="-54"/>
              <w:jc w:val="both"/>
              <w:rPr>
                <w:rFonts w:eastAsia="Swis721 BT" w:cs="Arial"/>
                <w:szCs w:val="20"/>
              </w:rPr>
            </w:pPr>
          </w:p>
        </w:tc>
        <w:tc>
          <w:tcPr>
            <w:tcW w:w="2977" w:type="dxa"/>
          </w:tcPr>
          <w:p w14:paraId="1A15EA60" w14:textId="77777777" w:rsidR="00934D96" w:rsidRPr="00934D96" w:rsidRDefault="00934D96" w:rsidP="004A3DA5">
            <w:pPr>
              <w:spacing w:before="45"/>
              <w:ind w:right="-54"/>
              <w:jc w:val="both"/>
              <w:rPr>
                <w:rFonts w:eastAsia="Swis721 BT" w:cs="Arial"/>
                <w:szCs w:val="20"/>
              </w:rPr>
            </w:pPr>
          </w:p>
        </w:tc>
        <w:tc>
          <w:tcPr>
            <w:tcW w:w="5103" w:type="dxa"/>
          </w:tcPr>
          <w:p w14:paraId="55CD21F1" w14:textId="3CAEDDA4" w:rsidR="00934D96" w:rsidRPr="007C6C2A" w:rsidRDefault="00934D96" w:rsidP="004A3DA5">
            <w:pPr>
              <w:spacing w:before="45"/>
              <w:ind w:right="-54"/>
              <w:jc w:val="both"/>
              <w:rPr>
                <w:rFonts w:eastAsia="Swis721 BT" w:cs="Arial"/>
                <w:i/>
                <w:szCs w:val="20"/>
              </w:rPr>
            </w:pPr>
          </w:p>
        </w:tc>
      </w:tr>
      <w:tr w:rsidR="00C266B6" w:rsidRPr="00934D96" w14:paraId="4F370060" w14:textId="77777777" w:rsidTr="004A3DA5">
        <w:tc>
          <w:tcPr>
            <w:tcW w:w="958" w:type="dxa"/>
          </w:tcPr>
          <w:p w14:paraId="1BF574BC" w14:textId="77777777" w:rsidR="00C266B6" w:rsidRDefault="00C266B6" w:rsidP="004A3DA5">
            <w:pPr>
              <w:spacing w:before="45"/>
              <w:ind w:right="-54"/>
              <w:jc w:val="both"/>
              <w:rPr>
                <w:rFonts w:eastAsia="Swis721 BT" w:cs="Arial"/>
                <w:szCs w:val="20"/>
              </w:rPr>
            </w:pPr>
          </w:p>
          <w:p w14:paraId="52E40EFB" w14:textId="3A70FF0D" w:rsidR="00C266B6" w:rsidRPr="00934D96" w:rsidRDefault="00C266B6" w:rsidP="004A3DA5">
            <w:pPr>
              <w:spacing w:before="45"/>
              <w:ind w:right="-54"/>
              <w:jc w:val="both"/>
              <w:rPr>
                <w:rFonts w:eastAsia="Swis721 BT" w:cs="Arial"/>
                <w:szCs w:val="20"/>
              </w:rPr>
            </w:pPr>
          </w:p>
        </w:tc>
        <w:tc>
          <w:tcPr>
            <w:tcW w:w="926" w:type="dxa"/>
          </w:tcPr>
          <w:p w14:paraId="121FA142" w14:textId="77777777" w:rsidR="00C266B6" w:rsidRPr="00934D96" w:rsidRDefault="00C266B6" w:rsidP="004A3DA5">
            <w:pPr>
              <w:spacing w:before="45"/>
              <w:ind w:right="-54"/>
              <w:jc w:val="both"/>
              <w:rPr>
                <w:rFonts w:eastAsia="Swis721 BT" w:cs="Arial"/>
                <w:szCs w:val="20"/>
              </w:rPr>
            </w:pPr>
          </w:p>
        </w:tc>
        <w:tc>
          <w:tcPr>
            <w:tcW w:w="3786" w:type="dxa"/>
          </w:tcPr>
          <w:p w14:paraId="627A0DEF" w14:textId="77777777" w:rsidR="00C266B6" w:rsidRPr="00934D96" w:rsidRDefault="00C266B6" w:rsidP="004A3DA5">
            <w:pPr>
              <w:spacing w:before="45"/>
              <w:ind w:right="-54"/>
              <w:jc w:val="both"/>
              <w:rPr>
                <w:rFonts w:eastAsia="Swis721 BT" w:cs="Arial"/>
                <w:szCs w:val="20"/>
              </w:rPr>
            </w:pPr>
          </w:p>
        </w:tc>
        <w:tc>
          <w:tcPr>
            <w:tcW w:w="2977" w:type="dxa"/>
          </w:tcPr>
          <w:p w14:paraId="7F75630F" w14:textId="77777777" w:rsidR="00C266B6" w:rsidRPr="00934D96" w:rsidRDefault="00C266B6" w:rsidP="004A3DA5">
            <w:pPr>
              <w:spacing w:before="45"/>
              <w:ind w:right="-54"/>
              <w:jc w:val="both"/>
              <w:rPr>
                <w:rFonts w:eastAsia="Swis721 BT" w:cs="Arial"/>
                <w:szCs w:val="20"/>
              </w:rPr>
            </w:pPr>
          </w:p>
        </w:tc>
        <w:tc>
          <w:tcPr>
            <w:tcW w:w="5103" w:type="dxa"/>
          </w:tcPr>
          <w:p w14:paraId="55664377"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6950B58B" w14:textId="77777777" w:rsidTr="004A3DA5">
        <w:tc>
          <w:tcPr>
            <w:tcW w:w="958" w:type="dxa"/>
          </w:tcPr>
          <w:p w14:paraId="4250FF64" w14:textId="77777777" w:rsidR="00C266B6" w:rsidRDefault="00C266B6" w:rsidP="004A3DA5">
            <w:pPr>
              <w:spacing w:before="45"/>
              <w:ind w:right="-54"/>
              <w:jc w:val="both"/>
              <w:rPr>
                <w:rFonts w:eastAsia="Swis721 BT" w:cs="Arial"/>
                <w:szCs w:val="20"/>
              </w:rPr>
            </w:pPr>
          </w:p>
          <w:p w14:paraId="1252346B" w14:textId="328C1010" w:rsidR="00C266B6" w:rsidRPr="00934D96" w:rsidRDefault="00C266B6" w:rsidP="004A3DA5">
            <w:pPr>
              <w:spacing w:before="45"/>
              <w:ind w:right="-54"/>
              <w:jc w:val="both"/>
              <w:rPr>
                <w:rFonts w:eastAsia="Swis721 BT" w:cs="Arial"/>
                <w:szCs w:val="20"/>
              </w:rPr>
            </w:pPr>
          </w:p>
        </w:tc>
        <w:tc>
          <w:tcPr>
            <w:tcW w:w="926" w:type="dxa"/>
          </w:tcPr>
          <w:p w14:paraId="76B1A477" w14:textId="77777777" w:rsidR="00C266B6" w:rsidRPr="00934D96" w:rsidRDefault="00C266B6" w:rsidP="004A3DA5">
            <w:pPr>
              <w:spacing w:before="45"/>
              <w:ind w:right="-54"/>
              <w:jc w:val="both"/>
              <w:rPr>
                <w:rFonts w:eastAsia="Swis721 BT" w:cs="Arial"/>
                <w:szCs w:val="20"/>
              </w:rPr>
            </w:pPr>
          </w:p>
        </w:tc>
        <w:tc>
          <w:tcPr>
            <w:tcW w:w="3786" w:type="dxa"/>
          </w:tcPr>
          <w:p w14:paraId="17FF60E5" w14:textId="77777777" w:rsidR="00C266B6" w:rsidRPr="00934D96" w:rsidRDefault="00C266B6" w:rsidP="004A3DA5">
            <w:pPr>
              <w:spacing w:before="45"/>
              <w:ind w:right="-54"/>
              <w:jc w:val="both"/>
              <w:rPr>
                <w:rFonts w:eastAsia="Swis721 BT" w:cs="Arial"/>
                <w:szCs w:val="20"/>
              </w:rPr>
            </w:pPr>
          </w:p>
        </w:tc>
        <w:tc>
          <w:tcPr>
            <w:tcW w:w="2977" w:type="dxa"/>
          </w:tcPr>
          <w:p w14:paraId="3B34E7D1" w14:textId="77777777" w:rsidR="00C266B6" w:rsidRPr="00934D96" w:rsidRDefault="00C266B6" w:rsidP="004A3DA5">
            <w:pPr>
              <w:spacing w:before="45"/>
              <w:ind w:right="-54"/>
              <w:jc w:val="both"/>
              <w:rPr>
                <w:rFonts w:eastAsia="Swis721 BT" w:cs="Arial"/>
                <w:szCs w:val="20"/>
              </w:rPr>
            </w:pPr>
          </w:p>
        </w:tc>
        <w:tc>
          <w:tcPr>
            <w:tcW w:w="5103" w:type="dxa"/>
          </w:tcPr>
          <w:p w14:paraId="77AE005C"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0B040F75" w14:textId="77777777" w:rsidTr="004A3DA5">
        <w:tc>
          <w:tcPr>
            <w:tcW w:w="958" w:type="dxa"/>
          </w:tcPr>
          <w:p w14:paraId="36F15FB9" w14:textId="77777777" w:rsidR="00C266B6" w:rsidRDefault="00C266B6" w:rsidP="004A3DA5">
            <w:pPr>
              <w:spacing w:before="45"/>
              <w:ind w:right="-54"/>
              <w:jc w:val="both"/>
              <w:rPr>
                <w:rFonts w:eastAsia="Swis721 BT" w:cs="Arial"/>
                <w:szCs w:val="20"/>
              </w:rPr>
            </w:pPr>
          </w:p>
          <w:p w14:paraId="4755D262" w14:textId="38628768" w:rsidR="00C266B6" w:rsidRPr="00934D96" w:rsidRDefault="00C266B6" w:rsidP="004A3DA5">
            <w:pPr>
              <w:spacing w:before="45"/>
              <w:ind w:right="-54"/>
              <w:jc w:val="both"/>
              <w:rPr>
                <w:rFonts w:eastAsia="Swis721 BT" w:cs="Arial"/>
                <w:szCs w:val="20"/>
              </w:rPr>
            </w:pPr>
          </w:p>
        </w:tc>
        <w:tc>
          <w:tcPr>
            <w:tcW w:w="926" w:type="dxa"/>
          </w:tcPr>
          <w:p w14:paraId="4274D04B" w14:textId="77777777" w:rsidR="00C266B6" w:rsidRPr="00934D96" w:rsidRDefault="00C266B6" w:rsidP="004A3DA5">
            <w:pPr>
              <w:spacing w:before="45"/>
              <w:ind w:right="-54"/>
              <w:jc w:val="both"/>
              <w:rPr>
                <w:rFonts w:eastAsia="Swis721 BT" w:cs="Arial"/>
                <w:szCs w:val="20"/>
              </w:rPr>
            </w:pPr>
          </w:p>
        </w:tc>
        <w:tc>
          <w:tcPr>
            <w:tcW w:w="3786" w:type="dxa"/>
          </w:tcPr>
          <w:p w14:paraId="1667AD28" w14:textId="77777777" w:rsidR="00C266B6" w:rsidRPr="00934D96" w:rsidRDefault="00C266B6" w:rsidP="004A3DA5">
            <w:pPr>
              <w:spacing w:before="45"/>
              <w:ind w:right="-54"/>
              <w:jc w:val="both"/>
              <w:rPr>
                <w:rFonts w:eastAsia="Swis721 BT" w:cs="Arial"/>
                <w:szCs w:val="20"/>
              </w:rPr>
            </w:pPr>
          </w:p>
        </w:tc>
        <w:tc>
          <w:tcPr>
            <w:tcW w:w="2977" w:type="dxa"/>
          </w:tcPr>
          <w:p w14:paraId="226A9E31" w14:textId="77777777" w:rsidR="00C266B6" w:rsidRPr="00934D96" w:rsidRDefault="00C266B6" w:rsidP="004A3DA5">
            <w:pPr>
              <w:spacing w:before="45"/>
              <w:ind w:right="-54"/>
              <w:jc w:val="both"/>
              <w:rPr>
                <w:rFonts w:eastAsia="Swis721 BT" w:cs="Arial"/>
                <w:szCs w:val="20"/>
              </w:rPr>
            </w:pPr>
          </w:p>
        </w:tc>
        <w:tc>
          <w:tcPr>
            <w:tcW w:w="5103" w:type="dxa"/>
          </w:tcPr>
          <w:p w14:paraId="6F437C4A"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65FB5663" w14:textId="77777777" w:rsidTr="004A3DA5">
        <w:tc>
          <w:tcPr>
            <w:tcW w:w="958" w:type="dxa"/>
          </w:tcPr>
          <w:p w14:paraId="33D7B7F7" w14:textId="77777777" w:rsidR="00C266B6" w:rsidRDefault="00C266B6" w:rsidP="004A3DA5">
            <w:pPr>
              <w:spacing w:before="45"/>
              <w:ind w:right="-54"/>
              <w:jc w:val="both"/>
              <w:rPr>
                <w:rFonts w:eastAsia="Swis721 BT" w:cs="Arial"/>
                <w:szCs w:val="20"/>
              </w:rPr>
            </w:pPr>
          </w:p>
          <w:p w14:paraId="2F53EFD6" w14:textId="64F205DC" w:rsidR="00C266B6" w:rsidRPr="00934D96" w:rsidRDefault="00C266B6" w:rsidP="004A3DA5">
            <w:pPr>
              <w:spacing w:before="45"/>
              <w:ind w:right="-54"/>
              <w:jc w:val="both"/>
              <w:rPr>
                <w:rFonts w:eastAsia="Swis721 BT" w:cs="Arial"/>
                <w:szCs w:val="20"/>
              </w:rPr>
            </w:pPr>
          </w:p>
        </w:tc>
        <w:tc>
          <w:tcPr>
            <w:tcW w:w="926" w:type="dxa"/>
          </w:tcPr>
          <w:p w14:paraId="4224AA0D" w14:textId="77777777" w:rsidR="00C266B6" w:rsidRPr="00934D96" w:rsidRDefault="00C266B6" w:rsidP="004A3DA5">
            <w:pPr>
              <w:spacing w:before="45"/>
              <w:ind w:right="-54"/>
              <w:jc w:val="both"/>
              <w:rPr>
                <w:rFonts w:eastAsia="Swis721 BT" w:cs="Arial"/>
                <w:szCs w:val="20"/>
              </w:rPr>
            </w:pPr>
          </w:p>
        </w:tc>
        <w:tc>
          <w:tcPr>
            <w:tcW w:w="3786" w:type="dxa"/>
          </w:tcPr>
          <w:p w14:paraId="139C8F3D" w14:textId="77777777" w:rsidR="00C266B6" w:rsidRPr="00934D96" w:rsidRDefault="00C266B6" w:rsidP="004A3DA5">
            <w:pPr>
              <w:spacing w:before="45"/>
              <w:ind w:right="-54"/>
              <w:jc w:val="both"/>
              <w:rPr>
                <w:rFonts w:eastAsia="Swis721 BT" w:cs="Arial"/>
                <w:szCs w:val="20"/>
              </w:rPr>
            </w:pPr>
          </w:p>
        </w:tc>
        <w:tc>
          <w:tcPr>
            <w:tcW w:w="2977" w:type="dxa"/>
          </w:tcPr>
          <w:p w14:paraId="782FDAD1" w14:textId="77777777" w:rsidR="00C266B6" w:rsidRPr="00934D96" w:rsidRDefault="00C266B6" w:rsidP="004A3DA5">
            <w:pPr>
              <w:spacing w:before="45"/>
              <w:ind w:right="-54"/>
              <w:jc w:val="both"/>
              <w:rPr>
                <w:rFonts w:eastAsia="Swis721 BT" w:cs="Arial"/>
                <w:szCs w:val="20"/>
              </w:rPr>
            </w:pPr>
          </w:p>
        </w:tc>
        <w:tc>
          <w:tcPr>
            <w:tcW w:w="5103" w:type="dxa"/>
          </w:tcPr>
          <w:p w14:paraId="5EEA84F3"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4D5483A9" w14:textId="77777777" w:rsidTr="004A3DA5">
        <w:tc>
          <w:tcPr>
            <w:tcW w:w="958" w:type="dxa"/>
          </w:tcPr>
          <w:p w14:paraId="63A15E09" w14:textId="77777777" w:rsidR="00C266B6" w:rsidRDefault="00C266B6" w:rsidP="004A3DA5">
            <w:pPr>
              <w:spacing w:before="45"/>
              <w:ind w:right="-54"/>
              <w:jc w:val="both"/>
              <w:rPr>
                <w:rFonts w:eastAsia="Swis721 BT" w:cs="Arial"/>
                <w:szCs w:val="20"/>
              </w:rPr>
            </w:pPr>
          </w:p>
          <w:p w14:paraId="0E9571C8" w14:textId="75B95FE9" w:rsidR="00C266B6" w:rsidRPr="00934D96" w:rsidRDefault="00C266B6" w:rsidP="004A3DA5">
            <w:pPr>
              <w:spacing w:before="45"/>
              <w:ind w:right="-54"/>
              <w:jc w:val="both"/>
              <w:rPr>
                <w:rFonts w:eastAsia="Swis721 BT" w:cs="Arial"/>
                <w:szCs w:val="20"/>
              </w:rPr>
            </w:pPr>
          </w:p>
        </w:tc>
        <w:tc>
          <w:tcPr>
            <w:tcW w:w="926" w:type="dxa"/>
          </w:tcPr>
          <w:p w14:paraId="163AC62C" w14:textId="77777777" w:rsidR="00C266B6" w:rsidRPr="00934D96" w:rsidRDefault="00C266B6" w:rsidP="004A3DA5">
            <w:pPr>
              <w:spacing w:before="45"/>
              <w:ind w:right="-54"/>
              <w:jc w:val="both"/>
              <w:rPr>
                <w:rFonts w:eastAsia="Swis721 BT" w:cs="Arial"/>
                <w:szCs w:val="20"/>
              </w:rPr>
            </w:pPr>
          </w:p>
        </w:tc>
        <w:tc>
          <w:tcPr>
            <w:tcW w:w="3786" w:type="dxa"/>
          </w:tcPr>
          <w:p w14:paraId="67D14885" w14:textId="77777777" w:rsidR="00C266B6" w:rsidRPr="00934D96" w:rsidRDefault="00C266B6" w:rsidP="004A3DA5">
            <w:pPr>
              <w:spacing w:before="45"/>
              <w:ind w:right="-54"/>
              <w:jc w:val="both"/>
              <w:rPr>
                <w:rFonts w:eastAsia="Swis721 BT" w:cs="Arial"/>
                <w:szCs w:val="20"/>
              </w:rPr>
            </w:pPr>
          </w:p>
        </w:tc>
        <w:tc>
          <w:tcPr>
            <w:tcW w:w="2977" w:type="dxa"/>
          </w:tcPr>
          <w:p w14:paraId="62D7FB8B" w14:textId="77777777" w:rsidR="00C266B6" w:rsidRPr="00934D96" w:rsidRDefault="00C266B6" w:rsidP="004A3DA5">
            <w:pPr>
              <w:spacing w:before="45"/>
              <w:ind w:right="-54"/>
              <w:jc w:val="both"/>
              <w:rPr>
                <w:rFonts w:eastAsia="Swis721 BT" w:cs="Arial"/>
                <w:szCs w:val="20"/>
              </w:rPr>
            </w:pPr>
          </w:p>
        </w:tc>
        <w:tc>
          <w:tcPr>
            <w:tcW w:w="5103" w:type="dxa"/>
          </w:tcPr>
          <w:p w14:paraId="12D9EC8C"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27C79129" w14:textId="77777777" w:rsidTr="004A3DA5">
        <w:tc>
          <w:tcPr>
            <w:tcW w:w="958" w:type="dxa"/>
          </w:tcPr>
          <w:p w14:paraId="0B8ABA54" w14:textId="77777777" w:rsidR="00C266B6" w:rsidRDefault="00C266B6" w:rsidP="004A3DA5">
            <w:pPr>
              <w:spacing w:before="45"/>
              <w:ind w:right="-54"/>
              <w:jc w:val="both"/>
              <w:rPr>
                <w:rFonts w:eastAsia="Swis721 BT" w:cs="Arial"/>
                <w:szCs w:val="20"/>
              </w:rPr>
            </w:pPr>
          </w:p>
          <w:p w14:paraId="7417D2C7" w14:textId="40A16ACB" w:rsidR="00C266B6" w:rsidRPr="00934D96" w:rsidRDefault="00C266B6" w:rsidP="004A3DA5">
            <w:pPr>
              <w:spacing w:before="45"/>
              <w:ind w:right="-54"/>
              <w:jc w:val="both"/>
              <w:rPr>
                <w:rFonts w:eastAsia="Swis721 BT" w:cs="Arial"/>
                <w:szCs w:val="20"/>
              </w:rPr>
            </w:pPr>
          </w:p>
        </w:tc>
        <w:tc>
          <w:tcPr>
            <w:tcW w:w="926" w:type="dxa"/>
          </w:tcPr>
          <w:p w14:paraId="50FE209E" w14:textId="77777777" w:rsidR="00C266B6" w:rsidRPr="00934D96" w:rsidRDefault="00C266B6" w:rsidP="004A3DA5">
            <w:pPr>
              <w:spacing w:before="45"/>
              <w:ind w:right="-54"/>
              <w:jc w:val="both"/>
              <w:rPr>
                <w:rFonts w:eastAsia="Swis721 BT" w:cs="Arial"/>
                <w:szCs w:val="20"/>
              </w:rPr>
            </w:pPr>
          </w:p>
        </w:tc>
        <w:tc>
          <w:tcPr>
            <w:tcW w:w="3786" w:type="dxa"/>
          </w:tcPr>
          <w:p w14:paraId="40361ED9" w14:textId="77777777" w:rsidR="00C266B6" w:rsidRPr="00934D96" w:rsidRDefault="00C266B6" w:rsidP="004A3DA5">
            <w:pPr>
              <w:spacing w:before="45"/>
              <w:ind w:right="-54"/>
              <w:jc w:val="both"/>
              <w:rPr>
                <w:rFonts w:eastAsia="Swis721 BT" w:cs="Arial"/>
                <w:szCs w:val="20"/>
              </w:rPr>
            </w:pPr>
          </w:p>
        </w:tc>
        <w:tc>
          <w:tcPr>
            <w:tcW w:w="2977" w:type="dxa"/>
          </w:tcPr>
          <w:p w14:paraId="774A2F50" w14:textId="77777777" w:rsidR="00C266B6" w:rsidRPr="00934D96" w:rsidRDefault="00C266B6" w:rsidP="004A3DA5">
            <w:pPr>
              <w:spacing w:before="45"/>
              <w:ind w:right="-54"/>
              <w:jc w:val="both"/>
              <w:rPr>
                <w:rFonts w:eastAsia="Swis721 BT" w:cs="Arial"/>
                <w:szCs w:val="20"/>
              </w:rPr>
            </w:pPr>
          </w:p>
        </w:tc>
        <w:tc>
          <w:tcPr>
            <w:tcW w:w="5103" w:type="dxa"/>
          </w:tcPr>
          <w:p w14:paraId="74061103"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2896C0D9" w14:textId="77777777" w:rsidTr="004A3DA5">
        <w:tc>
          <w:tcPr>
            <w:tcW w:w="958" w:type="dxa"/>
          </w:tcPr>
          <w:p w14:paraId="735FC8FF" w14:textId="77777777" w:rsidR="00C266B6" w:rsidRDefault="00C266B6" w:rsidP="004A3DA5">
            <w:pPr>
              <w:spacing w:before="45"/>
              <w:ind w:right="-54"/>
              <w:jc w:val="both"/>
              <w:rPr>
                <w:rFonts w:eastAsia="Swis721 BT" w:cs="Arial"/>
                <w:szCs w:val="20"/>
              </w:rPr>
            </w:pPr>
          </w:p>
          <w:p w14:paraId="63D2AD51" w14:textId="641ACE0E" w:rsidR="00C266B6" w:rsidRPr="00934D96" w:rsidRDefault="00C266B6" w:rsidP="004A3DA5">
            <w:pPr>
              <w:spacing w:before="45"/>
              <w:ind w:right="-54"/>
              <w:jc w:val="both"/>
              <w:rPr>
                <w:rFonts w:eastAsia="Swis721 BT" w:cs="Arial"/>
                <w:szCs w:val="20"/>
              </w:rPr>
            </w:pPr>
          </w:p>
        </w:tc>
        <w:tc>
          <w:tcPr>
            <w:tcW w:w="926" w:type="dxa"/>
          </w:tcPr>
          <w:p w14:paraId="244FD631" w14:textId="77777777" w:rsidR="00C266B6" w:rsidRPr="00934D96" w:rsidRDefault="00C266B6" w:rsidP="004A3DA5">
            <w:pPr>
              <w:spacing w:before="45"/>
              <w:ind w:right="-54"/>
              <w:jc w:val="both"/>
              <w:rPr>
                <w:rFonts w:eastAsia="Swis721 BT" w:cs="Arial"/>
                <w:szCs w:val="20"/>
              </w:rPr>
            </w:pPr>
          </w:p>
        </w:tc>
        <w:tc>
          <w:tcPr>
            <w:tcW w:w="3786" w:type="dxa"/>
          </w:tcPr>
          <w:p w14:paraId="25D8E082" w14:textId="77777777" w:rsidR="00C266B6" w:rsidRPr="00934D96" w:rsidRDefault="00C266B6" w:rsidP="004A3DA5">
            <w:pPr>
              <w:spacing w:before="45"/>
              <w:ind w:right="-54"/>
              <w:jc w:val="both"/>
              <w:rPr>
                <w:rFonts w:eastAsia="Swis721 BT" w:cs="Arial"/>
                <w:szCs w:val="20"/>
              </w:rPr>
            </w:pPr>
          </w:p>
        </w:tc>
        <w:tc>
          <w:tcPr>
            <w:tcW w:w="2977" w:type="dxa"/>
          </w:tcPr>
          <w:p w14:paraId="0C299261" w14:textId="77777777" w:rsidR="00C266B6" w:rsidRPr="00934D96" w:rsidRDefault="00C266B6" w:rsidP="004A3DA5">
            <w:pPr>
              <w:spacing w:before="45"/>
              <w:ind w:right="-54"/>
              <w:jc w:val="both"/>
              <w:rPr>
                <w:rFonts w:eastAsia="Swis721 BT" w:cs="Arial"/>
                <w:szCs w:val="20"/>
              </w:rPr>
            </w:pPr>
          </w:p>
        </w:tc>
        <w:tc>
          <w:tcPr>
            <w:tcW w:w="5103" w:type="dxa"/>
          </w:tcPr>
          <w:p w14:paraId="31E13ABA" w14:textId="77777777" w:rsidR="00C266B6" w:rsidRPr="007C6C2A" w:rsidRDefault="00C266B6" w:rsidP="004A3DA5">
            <w:pPr>
              <w:spacing w:before="45"/>
              <w:ind w:right="-54"/>
              <w:jc w:val="both"/>
              <w:rPr>
                <w:rFonts w:eastAsia="Swis721 BT" w:cs="Arial"/>
                <w:i/>
                <w:color w:val="A6A6A6" w:themeColor="background1" w:themeShade="A6"/>
                <w:szCs w:val="20"/>
              </w:rPr>
            </w:pPr>
          </w:p>
        </w:tc>
      </w:tr>
    </w:tbl>
    <w:p w14:paraId="2F320F8B" w14:textId="77777777" w:rsidR="00934D96" w:rsidRPr="00934D96" w:rsidRDefault="00934D96" w:rsidP="00934D96">
      <w:pPr>
        <w:tabs>
          <w:tab w:val="left" w:pos="1060"/>
          <w:tab w:val="left" w:pos="10206"/>
        </w:tabs>
        <w:spacing w:before="45" w:after="0" w:line="240" w:lineRule="auto"/>
        <w:ind w:right="-54"/>
        <w:jc w:val="both"/>
        <w:rPr>
          <w:rFonts w:eastAsia="Swis721 BT" w:cs="Arial"/>
          <w:szCs w:val="20"/>
        </w:rPr>
      </w:pPr>
    </w:p>
    <w:p w14:paraId="2E8B1F50" w14:textId="77777777" w:rsidR="00120B09" w:rsidRDefault="00120B09">
      <w:pPr>
        <w:rPr>
          <w:rFonts w:eastAsia="Swis721 BT" w:cs="Arial"/>
          <w:b/>
          <w:spacing w:val="9"/>
          <w:sz w:val="28"/>
          <w:szCs w:val="20"/>
        </w:rPr>
      </w:pPr>
      <w:r>
        <w:rPr>
          <w:rFonts w:eastAsia="Swis721 BT" w:cs="Arial"/>
          <w:b/>
          <w:spacing w:val="9"/>
          <w:sz w:val="28"/>
          <w:szCs w:val="20"/>
        </w:rPr>
        <w:br w:type="page"/>
      </w:r>
    </w:p>
    <w:p w14:paraId="2A3D1568" w14:textId="77777777" w:rsidR="00934D96" w:rsidRPr="00934D96" w:rsidRDefault="00934D96" w:rsidP="00934D96">
      <w:pPr>
        <w:rPr>
          <w:rFonts w:eastAsia="Swis721 BT" w:cs="Arial"/>
          <w:b/>
          <w:spacing w:val="9"/>
          <w:sz w:val="28"/>
          <w:szCs w:val="20"/>
        </w:rPr>
      </w:pPr>
      <w:r w:rsidRPr="00934D96">
        <w:rPr>
          <w:rFonts w:eastAsia="Swis721 BT" w:cs="Arial"/>
          <w:b/>
          <w:spacing w:val="9"/>
          <w:sz w:val="28"/>
          <w:szCs w:val="20"/>
        </w:rPr>
        <w:lastRenderedPageBreak/>
        <w:t>Section 3: What competencies have you gained from study and work to support this application?</w:t>
      </w:r>
    </w:p>
    <w:p w14:paraId="046B0C5A" w14:textId="77777777" w:rsidR="00C65A2C" w:rsidRDefault="00934D96" w:rsidP="00934D96">
      <w:pPr>
        <w:spacing w:before="18" w:after="0" w:line="220" w:lineRule="exact"/>
        <w:ind w:right="1134"/>
        <w:rPr>
          <w:rFonts w:cs="Arial"/>
          <w:szCs w:val="20"/>
        </w:rPr>
      </w:pPr>
      <w:r w:rsidRPr="00934D96">
        <w:rPr>
          <w:rFonts w:cs="Arial"/>
          <w:szCs w:val="20"/>
        </w:rPr>
        <w:t xml:space="preserve">Please detail the </w:t>
      </w:r>
      <w:r w:rsidRPr="00934D96">
        <w:rPr>
          <w:rFonts w:cs="Arial"/>
          <w:b/>
          <w:szCs w:val="20"/>
        </w:rPr>
        <w:t>skills/competencies</w:t>
      </w:r>
      <w:r w:rsidRPr="00934D96">
        <w:rPr>
          <w:rFonts w:cs="Arial"/>
          <w:szCs w:val="20"/>
        </w:rPr>
        <w:t xml:space="preserve"> you have gained from your work and study in </w:t>
      </w:r>
      <w:r w:rsidR="00C65A2C">
        <w:rPr>
          <w:rFonts w:cs="Arial"/>
          <w:szCs w:val="20"/>
        </w:rPr>
        <w:t>T</w:t>
      </w:r>
      <w:r w:rsidRPr="00934D96">
        <w:rPr>
          <w:rFonts w:cs="Arial"/>
          <w:szCs w:val="20"/>
        </w:rPr>
        <w:t xml:space="preserve">able </w:t>
      </w:r>
      <w:r w:rsidR="00C65A2C">
        <w:rPr>
          <w:rFonts w:cs="Arial"/>
          <w:szCs w:val="20"/>
        </w:rPr>
        <w:t xml:space="preserve">3 </w:t>
      </w:r>
      <w:r w:rsidRPr="00934D96">
        <w:rPr>
          <w:rFonts w:cs="Arial"/>
          <w:szCs w:val="20"/>
        </w:rPr>
        <w:t xml:space="preserve">below. </w:t>
      </w:r>
    </w:p>
    <w:p w14:paraId="19C59CCF" w14:textId="77777777" w:rsidR="00C65A2C" w:rsidRDefault="00C65A2C" w:rsidP="00934D96">
      <w:pPr>
        <w:spacing w:before="18" w:after="0" w:line="220" w:lineRule="exact"/>
        <w:ind w:right="1134"/>
        <w:rPr>
          <w:rFonts w:cs="Arial"/>
          <w:szCs w:val="20"/>
        </w:rPr>
      </w:pPr>
    </w:p>
    <w:p w14:paraId="4D1D68F2" w14:textId="77777777" w:rsidR="00934D96" w:rsidRPr="00934D96" w:rsidRDefault="00934D96" w:rsidP="00C65A2C">
      <w:pPr>
        <w:spacing w:before="18" w:after="0" w:line="220" w:lineRule="exact"/>
        <w:ind w:right="1134"/>
        <w:rPr>
          <w:rFonts w:cs="Arial"/>
          <w:szCs w:val="20"/>
        </w:rPr>
      </w:pPr>
      <w:r w:rsidRPr="00934D96">
        <w:rPr>
          <w:rFonts w:cs="Arial"/>
          <w:szCs w:val="20"/>
        </w:rPr>
        <w:t xml:space="preserve">Use this guide to rate your level of competency in each applicable area of practice: </w:t>
      </w:r>
    </w:p>
    <w:tbl>
      <w:tblPr>
        <w:tblStyle w:val="TableGrid"/>
        <w:tblW w:w="3316" w:type="pct"/>
        <w:tblInd w:w="108" w:type="dxa"/>
        <w:tblLook w:val="04A0" w:firstRow="1" w:lastRow="0" w:firstColumn="1" w:lastColumn="0" w:noHBand="0" w:noVBand="1"/>
      </w:tblPr>
      <w:tblGrid>
        <w:gridCol w:w="2434"/>
        <w:gridCol w:w="7295"/>
      </w:tblGrid>
      <w:tr w:rsidR="00934D96" w:rsidRPr="00934D96" w14:paraId="20FC36B0" w14:textId="77777777" w:rsidTr="004A3DA5">
        <w:trPr>
          <w:trHeight w:val="173"/>
        </w:trPr>
        <w:tc>
          <w:tcPr>
            <w:tcW w:w="1251" w:type="pct"/>
          </w:tcPr>
          <w:p w14:paraId="7C4FEB25" w14:textId="77777777" w:rsidR="00934D96" w:rsidRPr="00934D96" w:rsidRDefault="00934D96" w:rsidP="004A3DA5">
            <w:pPr>
              <w:tabs>
                <w:tab w:val="left" w:pos="2302"/>
                <w:tab w:val="left" w:pos="9639"/>
              </w:tabs>
              <w:spacing w:before="18" w:line="220" w:lineRule="exact"/>
              <w:ind w:right="-104"/>
              <w:rPr>
                <w:rFonts w:cs="Arial"/>
                <w:b/>
                <w:szCs w:val="20"/>
              </w:rPr>
            </w:pPr>
            <w:r w:rsidRPr="00934D96">
              <w:rPr>
                <w:rFonts w:cs="Arial"/>
                <w:b/>
                <w:szCs w:val="20"/>
              </w:rPr>
              <w:t>Level of competency</w:t>
            </w:r>
          </w:p>
        </w:tc>
        <w:tc>
          <w:tcPr>
            <w:tcW w:w="3749" w:type="pct"/>
          </w:tcPr>
          <w:p w14:paraId="20FCE57A" w14:textId="77777777" w:rsidR="00934D96" w:rsidRPr="00934D96" w:rsidRDefault="00934D96" w:rsidP="004A3DA5">
            <w:pPr>
              <w:tabs>
                <w:tab w:val="left" w:pos="9639"/>
              </w:tabs>
              <w:spacing w:before="18" w:line="220" w:lineRule="exact"/>
              <w:ind w:right="50"/>
              <w:rPr>
                <w:rFonts w:cs="Arial"/>
                <w:b/>
                <w:szCs w:val="20"/>
              </w:rPr>
            </w:pPr>
            <w:r w:rsidRPr="00934D96">
              <w:rPr>
                <w:rFonts w:cs="Arial"/>
                <w:b/>
                <w:szCs w:val="20"/>
              </w:rPr>
              <w:t xml:space="preserve">What </w:t>
            </w:r>
            <w:r w:rsidR="00E05F62">
              <w:rPr>
                <w:rFonts w:cs="Arial"/>
                <w:b/>
                <w:szCs w:val="20"/>
              </w:rPr>
              <w:t>this means for the CP applicant</w:t>
            </w:r>
          </w:p>
        </w:tc>
      </w:tr>
      <w:tr w:rsidR="00934D96" w:rsidRPr="00934D96" w14:paraId="2D96D65A" w14:textId="77777777" w:rsidTr="004A3DA5">
        <w:trPr>
          <w:trHeight w:val="173"/>
        </w:trPr>
        <w:tc>
          <w:tcPr>
            <w:tcW w:w="1251" w:type="pct"/>
          </w:tcPr>
          <w:p w14:paraId="06CACEB7"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B – Basic</w:t>
            </w:r>
          </w:p>
        </w:tc>
        <w:tc>
          <w:tcPr>
            <w:tcW w:w="3749" w:type="pct"/>
          </w:tcPr>
          <w:p w14:paraId="2D68EE9D"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with some supervision</w:t>
            </w:r>
          </w:p>
        </w:tc>
      </w:tr>
      <w:tr w:rsidR="00934D96" w:rsidRPr="00934D96" w14:paraId="15883C8F" w14:textId="77777777" w:rsidTr="004A3DA5">
        <w:trPr>
          <w:trHeight w:val="182"/>
        </w:trPr>
        <w:tc>
          <w:tcPr>
            <w:tcW w:w="1251" w:type="pct"/>
          </w:tcPr>
          <w:p w14:paraId="0EAA01F5" w14:textId="77777777" w:rsidR="00934D96" w:rsidRPr="00934D96" w:rsidRDefault="00934D96" w:rsidP="004A3DA5">
            <w:pPr>
              <w:tabs>
                <w:tab w:val="left" w:pos="2302"/>
                <w:tab w:val="left" w:pos="9639"/>
              </w:tabs>
              <w:spacing w:before="18" w:line="220" w:lineRule="exact"/>
              <w:ind w:right="-104"/>
              <w:rPr>
                <w:rFonts w:cs="Arial"/>
                <w:szCs w:val="20"/>
              </w:rPr>
            </w:pPr>
            <w:r w:rsidRPr="00934D96">
              <w:rPr>
                <w:rFonts w:cs="Arial"/>
                <w:szCs w:val="20"/>
              </w:rPr>
              <w:t>M – Medium</w:t>
            </w:r>
          </w:p>
        </w:tc>
        <w:tc>
          <w:tcPr>
            <w:tcW w:w="3749" w:type="pct"/>
          </w:tcPr>
          <w:p w14:paraId="2B19BD84"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unsupervised</w:t>
            </w:r>
          </w:p>
        </w:tc>
      </w:tr>
      <w:tr w:rsidR="00934D96" w:rsidRPr="00934D96" w14:paraId="72F2C309" w14:textId="77777777" w:rsidTr="004A3DA5">
        <w:trPr>
          <w:trHeight w:val="173"/>
        </w:trPr>
        <w:tc>
          <w:tcPr>
            <w:tcW w:w="1251" w:type="pct"/>
          </w:tcPr>
          <w:p w14:paraId="2687F7FE" w14:textId="77777777" w:rsidR="00934D96" w:rsidRPr="00934D96" w:rsidRDefault="00934D96" w:rsidP="004A3DA5">
            <w:pPr>
              <w:tabs>
                <w:tab w:val="left" w:pos="2302"/>
                <w:tab w:val="left" w:pos="9639"/>
              </w:tabs>
              <w:spacing w:before="18" w:line="220" w:lineRule="exact"/>
              <w:ind w:right="38"/>
              <w:rPr>
                <w:rFonts w:cs="Arial"/>
                <w:szCs w:val="20"/>
              </w:rPr>
            </w:pPr>
            <w:r w:rsidRPr="00934D96">
              <w:rPr>
                <w:rFonts w:cs="Arial"/>
                <w:szCs w:val="20"/>
              </w:rPr>
              <w:t>A – Advanced</w:t>
            </w:r>
          </w:p>
        </w:tc>
        <w:tc>
          <w:tcPr>
            <w:tcW w:w="3749" w:type="pct"/>
          </w:tcPr>
          <w:p w14:paraId="49418E09"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Able to troubleshoot and teach or supervise others</w:t>
            </w:r>
          </w:p>
        </w:tc>
      </w:tr>
      <w:tr w:rsidR="00934D96" w:rsidRPr="00934D96" w14:paraId="48FA8898" w14:textId="77777777" w:rsidTr="004A3DA5">
        <w:trPr>
          <w:trHeight w:val="173"/>
        </w:trPr>
        <w:tc>
          <w:tcPr>
            <w:tcW w:w="1251" w:type="pct"/>
          </w:tcPr>
          <w:p w14:paraId="66313351"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E – Expert</w:t>
            </w:r>
          </w:p>
        </w:tc>
        <w:tc>
          <w:tcPr>
            <w:tcW w:w="3749" w:type="pct"/>
          </w:tcPr>
          <w:p w14:paraId="088A9ECB"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At the top of the field, highly knowledgeable, a ‘go-to’ person/expert</w:t>
            </w:r>
          </w:p>
        </w:tc>
      </w:tr>
    </w:tbl>
    <w:p w14:paraId="4E57078F" w14:textId="77777777" w:rsidR="00934D96" w:rsidRPr="00934D96" w:rsidRDefault="00934D96" w:rsidP="00934D96">
      <w:pPr>
        <w:spacing w:before="18" w:after="0" w:line="220" w:lineRule="exact"/>
        <w:ind w:right="1134"/>
        <w:rPr>
          <w:rFonts w:cs="Arial"/>
          <w:szCs w:val="20"/>
        </w:rPr>
      </w:pPr>
    </w:p>
    <w:p w14:paraId="7BC9D8B4" w14:textId="77777777" w:rsidR="00934D96" w:rsidRPr="00934D96" w:rsidRDefault="00934D96" w:rsidP="00934D96">
      <w:pPr>
        <w:spacing w:before="18" w:after="0" w:line="220" w:lineRule="exact"/>
        <w:ind w:right="1134"/>
        <w:rPr>
          <w:rFonts w:eastAsia="Swis721 BT" w:cs="Arial"/>
          <w:szCs w:val="20"/>
        </w:rPr>
      </w:pPr>
      <w:r w:rsidRPr="00934D96">
        <w:rPr>
          <w:rFonts w:cs="Arial"/>
          <w:szCs w:val="20"/>
        </w:rPr>
        <w:t>If your career is longer than 10 years, please concentrate on the last 10 years. Assessors need to see sufficient</w:t>
      </w:r>
      <w:r w:rsidR="00C65A2C">
        <w:rPr>
          <w:rFonts w:cs="Arial"/>
          <w:szCs w:val="20"/>
        </w:rPr>
        <w:t xml:space="preserve"> (and a range of)</w:t>
      </w:r>
      <w:r w:rsidRPr="00934D96">
        <w:rPr>
          <w:rFonts w:cs="Arial"/>
          <w:szCs w:val="20"/>
        </w:rPr>
        <w:t xml:space="preserve"> skills/competencies to ensure that you have the required experience in the Discipline. </w:t>
      </w:r>
    </w:p>
    <w:p w14:paraId="098B76D7" w14:textId="77777777" w:rsidR="00934D96" w:rsidRPr="00934D96" w:rsidRDefault="00934D96" w:rsidP="00934D96">
      <w:pPr>
        <w:spacing w:before="18" w:after="0" w:line="220" w:lineRule="exact"/>
        <w:ind w:right="1134"/>
        <w:rPr>
          <w:rFonts w:eastAsia="Swis721 BT" w:cs="Arial"/>
          <w:szCs w:val="20"/>
        </w:rPr>
      </w:pPr>
    </w:p>
    <w:p w14:paraId="465ADCEA" w14:textId="17A54342" w:rsidR="004733A2" w:rsidRDefault="00934D96" w:rsidP="00934D96">
      <w:pPr>
        <w:spacing w:before="18" w:after="0" w:line="220" w:lineRule="exact"/>
        <w:ind w:right="1134"/>
        <w:rPr>
          <w:rFonts w:cs="Arial"/>
          <w:szCs w:val="20"/>
        </w:rPr>
      </w:pPr>
      <w:r w:rsidRPr="00934D96">
        <w:rPr>
          <w:rFonts w:eastAsia="Swis721 BT" w:cs="Arial"/>
          <w:szCs w:val="20"/>
        </w:rPr>
        <w:t xml:space="preserve">In addition to detailing your competencies in the </w:t>
      </w:r>
      <w:r w:rsidR="00D5709F">
        <w:rPr>
          <w:rFonts w:eastAsia="Swis721 BT" w:cs="Arial"/>
          <w:szCs w:val="20"/>
        </w:rPr>
        <w:t>Social Performance</w:t>
      </w:r>
      <w:r w:rsidRPr="005665AC">
        <w:rPr>
          <w:rFonts w:eastAsia="Swis721 BT" w:cs="Arial"/>
          <w:szCs w:val="20"/>
        </w:rPr>
        <w:t xml:space="preserve"> Discipline Areas of Practice</w:t>
      </w:r>
      <w:r w:rsidR="00C65A2C" w:rsidRPr="00C65A2C">
        <w:rPr>
          <w:rFonts w:eastAsia="Swis721 BT" w:cs="Arial"/>
          <w:szCs w:val="20"/>
        </w:rPr>
        <w:t xml:space="preserve"> (as detailed </w:t>
      </w:r>
      <w:r w:rsidR="00F16650">
        <w:rPr>
          <w:rFonts w:eastAsia="Swis721 BT" w:cs="Arial"/>
          <w:szCs w:val="20"/>
        </w:rPr>
        <w:t>below</w:t>
      </w:r>
      <w:r w:rsidR="00D5709F">
        <w:rPr>
          <w:rFonts w:eastAsia="Swis721 BT" w:cs="Arial"/>
          <w:szCs w:val="20"/>
        </w:rPr>
        <w:t>)</w:t>
      </w:r>
      <w:r w:rsidRPr="00934D96">
        <w:rPr>
          <w:rFonts w:eastAsia="Swis721 BT" w:cs="Arial"/>
          <w:szCs w:val="20"/>
        </w:rPr>
        <w:t>, please include any other competencies you have gained that you believe are relevant to this Chartered Professional Discipline.</w:t>
      </w:r>
    </w:p>
    <w:p w14:paraId="26D9C970" w14:textId="77777777" w:rsidR="004733A2" w:rsidRDefault="004733A2" w:rsidP="00934D96">
      <w:pPr>
        <w:spacing w:before="18" w:after="0" w:line="220" w:lineRule="exact"/>
        <w:ind w:right="1134"/>
        <w:rPr>
          <w:rFonts w:cs="Arial"/>
          <w:szCs w:val="20"/>
        </w:rPr>
      </w:pPr>
    </w:p>
    <w:p w14:paraId="0C118BA8" w14:textId="77777777" w:rsidR="00934D96" w:rsidRPr="004733A2" w:rsidRDefault="00934D96" w:rsidP="00934D96">
      <w:pPr>
        <w:spacing w:before="18" w:after="0" w:line="220" w:lineRule="exact"/>
        <w:ind w:right="1134"/>
        <w:rPr>
          <w:rFonts w:cs="Arial"/>
          <w:b/>
          <w:szCs w:val="20"/>
        </w:rPr>
      </w:pPr>
      <w:r w:rsidRPr="004733A2">
        <w:rPr>
          <w:rFonts w:cs="Arial"/>
          <w:b/>
          <w:szCs w:val="20"/>
        </w:rPr>
        <w:t xml:space="preserve">You are not required to respond to every </w:t>
      </w:r>
      <w:r w:rsidRPr="00F16650">
        <w:rPr>
          <w:rFonts w:cs="Arial"/>
          <w:b/>
          <w:szCs w:val="20"/>
        </w:rPr>
        <w:t>Area of Practice</w:t>
      </w:r>
      <w:r w:rsidRPr="004733A2">
        <w:rPr>
          <w:rFonts w:cs="Arial"/>
          <w:b/>
          <w:szCs w:val="20"/>
        </w:rPr>
        <w:t>; only those relevant to you.</w:t>
      </w:r>
    </w:p>
    <w:p w14:paraId="182767D4" w14:textId="77777777" w:rsidR="00934D96" w:rsidRDefault="00934D96" w:rsidP="00934D96">
      <w:pPr>
        <w:spacing w:before="18" w:after="0" w:line="220" w:lineRule="exact"/>
        <w:ind w:right="1134"/>
        <w:rPr>
          <w:rFonts w:cs="Arial"/>
          <w:szCs w:val="20"/>
        </w:rPr>
      </w:pPr>
    </w:p>
    <w:p w14:paraId="3AC6E18B" w14:textId="77777777" w:rsidR="00C65A2C" w:rsidRPr="00C65A2C" w:rsidRDefault="00C65A2C" w:rsidP="00934D96">
      <w:pPr>
        <w:spacing w:before="18" w:after="0" w:line="220" w:lineRule="exact"/>
        <w:ind w:right="1134"/>
        <w:rPr>
          <w:rFonts w:cs="Arial"/>
          <w:b/>
          <w:szCs w:val="20"/>
        </w:rPr>
      </w:pPr>
      <w:r w:rsidRPr="00C65A2C">
        <w:rPr>
          <w:rFonts w:cs="Arial"/>
          <w:b/>
          <w:szCs w:val="20"/>
        </w:rPr>
        <w:t>Table 3: Competencies</w:t>
      </w:r>
    </w:p>
    <w:tbl>
      <w:tblPr>
        <w:tblStyle w:val="TableGrid"/>
        <w:tblW w:w="12758" w:type="dxa"/>
        <w:tblInd w:w="108" w:type="dxa"/>
        <w:tblLook w:val="04A0" w:firstRow="1" w:lastRow="0" w:firstColumn="1" w:lastColumn="0" w:noHBand="0" w:noVBand="1"/>
      </w:tblPr>
      <w:tblGrid>
        <w:gridCol w:w="1977"/>
        <w:gridCol w:w="2123"/>
        <w:gridCol w:w="5823"/>
        <w:gridCol w:w="1276"/>
        <w:gridCol w:w="1559"/>
      </w:tblGrid>
      <w:tr w:rsidR="00A959CF" w:rsidRPr="00934D96" w14:paraId="528833EF" w14:textId="77777777" w:rsidTr="00A959CF">
        <w:tc>
          <w:tcPr>
            <w:tcW w:w="1977" w:type="dxa"/>
            <w:shd w:val="clear" w:color="auto" w:fill="B6DDE8" w:themeFill="accent5" w:themeFillTint="66"/>
          </w:tcPr>
          <w:p w14:paraId="4FCC6FA5" w14:textId="3EDAF0A0" w:rsidR="00A959CF" w:rsidRPr="00D5709F" w:rsidRDefault="00D5709F" w:rsidP="004A3DA5">
            <w:pPr>
              <w:spacing w:before="45"/>
              <w:ind w:right="-54"/>
              <w:rPr>
                <w:rFonts w:eastAsia="Swis721 BT" w:cs="Arial"/>
                <w:b/>
                <w:szCs w:val="20"/>
              </w:rPr>
            </w:pPr>
            <w:r>
              <w:rPr>
                <w:rFonts w:eastAsia="Swis721 BT" w:cs="Arial"/>
                <w:b/>
                <w:szCs w:val="20"/>
              </w:rPr>
              <w:t>Social Performance Area of Practice</w:t>
            </w:r>
          </w:p>
        </w:tc>
        <w:tc>
          <w:tcPr>
            <w:tcW w:w="2123" w:type="dxa"/>
            <w:shd w:val="clear" w:color="auto" w:fill="B6DDE8" w:themeFill="accent5" w:themeFillTint="66"/>
          </w:tcPr>
          <w:p w14:paraId="70E3F7DD" w14:textId="77777777" w:rsidR="00A959CF" w:rsidRPr="00934D96" w:rsidRDefault="00A959CF" w:rsidP="004A3DA5">
            <w:pPr>
              <w:spacing w:before="45"/>
              <w:ind w:right="-54"/>
              <w:rPr>
                <w:rFonts w:eastAsia="Swis721 BT" w:cs="Arial"/>
                <w:b/>
                <w:szCs w:val="20"/>
              </w:rPr>
            </w:pPr>
            <w:r w:rsidRPr="00934D96">
              <w:rPr>
                <w:rFonts w:eastAsia="Swis721 BT" w:cs="Arial"/>
                <w:b/>
                <w:szCs w:val="20"/>
              </w:rPr>
              <w:t>Location/Role where skill/competency gained</w:t>
            </w:r>
          </w:p>
        </w:tc>
        <w:tc>
          <w:tcPr>
            <w:tcW w:w="5823" w:type="dxa"/>
            <w:shd w:val="clear" w:color="auto" w:fill="B6DDE8" w:themeFill="accent5" w:themeFillTint="66"/>
          </w:tcPr>
          <w:p w14:paraId="74A8BAD7" w14:textId="77777777" w:rsidR="00A959CF" w:rsidRPr="00934D96" w:rsidRDefault="00A959CF" w:rsidP="004A3DA5">
            <w:pPr>
              <w:spacing w:before="45"/>
              <w:ind w:right="-54"/>
              <w:rPr>
                <w:rFonts w:eastAsia="Swis721 BT" w:cs="Arial"/>
                <w:b/>
                <w:szCs w:val="20"/>
              </w:rPr>
            </w:pPr>
            <w:r w:rsidRPr="00934D96">
              <w:rPr>
                <w:rFonts w:eastAsia="Swis721 BT" w:cs="Arial"/>
                <w:b/>
                <w:szCs w:val="20"/>
              </w:rPr>
              <w:t xml:space="preserve">Skill/s developed related to this Area of Practice </w:t>
            </w:r>
          </w:p>
        </w:tc>
        <w:tc>
          <w:tcPr>
            <w:tcW w:w="1276" w:type="dxa"/>
            <w:shd w:val="clear" w:color="auto" w:fill="B6DDE8" w:themeFill="accent5" w:themeFillTint="66"/>
          </w:tcPr>
          <w:p w14:paraId="0814B721" w14:textId="77777777" w:rsidR="00A959CF" w:rsidRPr="00934D96" w:rsidRDefault="00A959CF" w:rsidP="004A3DA5">
            <w:pPr>
              <w:spacing w:before="45"/>
              <w:ind w:right="-54"/>
              <w:rPr>
                <w:rFonts w:eastAsia="Swis721 BT" w:cs="Arial"/>
                <w:b/>
                <w:szCs w:val="20"/>
              </w:rPr>
            </w:pPr>
            <w:r w:rsidRPr="00934D96">
              <w:rPr>
                <w:rFonts w:eastAsia="Swis721 BT" w:cs="Arial"/>
                <w:b/>
                <w:szCs w:val="20"/>
              </w:rPr>
              <w:t>Period of practice (years)</w:t>
            </w:r>
          </w:p>
        </w:tc>
        <w:tc>
          <w:tcPr>
            <w:tcW w:w="1559" w:type="dxa"/>
            <w:shd w:val="clear" w:color="auto" w:fill="B6DDE8" w:themeFill="accent5" w:themeFillTint="66"/>
          </w:tcPr>
          <w:p w14:paraId="3D0DB3C3" w14:textId="77777777" w:rsidR="00A959CF" w:rsidRPr="00934D96" w:rsidRDefault="00A959CF" w:rsidP="004A3DA5">
            <w:pPr>
              <w:spacing w:before="45"/>
              <w:ind w:right="-54"/>
              <w:rPr>
                <w:rFonts w:eastAsia="Swis721 BT" w:cs="Arial"/>
                <w:b/>
                <w:szCs w:val="20"/>
              </w:rPr>
            </w:pPr>
            <w:r w:rsidRPr="00934D96">
              <w:rPr>
                <w:rFonts w:eastAsia="Swis721 BT" w:cs="Arial"/>
                <w:b/>
                <w:szCs w:val="20"/>
              </w:rPr>
              <w:t xml:space="preserve">Competency Level </w:t>
            </w:r>
          </w:p>
          <w:p w14:paraId="51B61D20" w14:textId="77777777" w:rsidR="00A959CF" w:rsidRPr="00934D96" w:rsidRDefault="00A959CF" w:rsidP="004A3DA5">
            <w:pPr>
              <w:spacing w:before="45"/>
              <w:ind w:right="-54"/>
              <w:rPr>
                <w:rFonts w:eastAsia="Swis721 BT" w:cs="Arial"/>
                <w:b/>
                <w:szCs w:val="20"/>
              </w:rPr>
            </w:pPr>
            <w:r w:rsidRPr="00934D96">
              <w:rPr>
                <w:rFonts w:eastAsia="Swis721 BT" w:cs="Arial"/>
                <w:b/>
                <w:szCs w:val="20"/>
              </w:rPr>
              <w:t>(B, M, A or E)</w:t>
            </w:r>
          </w:p>
        </w:tc>
      </w:tr>
      <w:tr w:rsidR="00A959CF" w:rsidRPr="00C65A2C" w14:paraId="576B058E" w14:textId="77777777" w:rsidTr="00A959CF">
        <w:tc>
          <w:tcPr>
            <w:tcW w:w="1977" w:type="dxa"/>
          </w:tcPr>
          <w:p w14:paraId="4E3D3376" w14:textId="6A533E3E" w:rsidR="00A959CF" w:rsidRPr="00C65A2C" w:rsidRDefault="00A959CF" w:rsidP="004A3DA5">
            <w:pPr>
              <w:spacing w:before="45"/>
              <w:ind w:right="-54"/>
              <w:rPr>
                <w:rFonts w:eastAsia="Swis721 BT" w:cs="Arial"/>
                <w:i/>
                <w:color w:val="A6A6A6" w:themeColor="background1" w:themeShade="A6"/>
                <w:szCs w:val="20"/>
              </w:rPr>
            </w:pPr>
          </w:p>
        </w:tc>
        <w:tc>
          <w:tcPr>
            <w:tcW w:w="2123" w:type="dxa"/>
          </w:tcPr>
          <w:p w14:paraId="1CEC1554" w14:textId="58A5C3BE" w:rsidR="00A959CF" w:rsidRPr="00C65A2C" w:rsidRDefault="00A959CF" w:rsidP="004A3DA5">
            <w:pPr>
              <w:spacing w:before="45"/>
              <w:ind w:right="-54"/>
              <w:rPr>
                <w:rFonts w:eastAsia="Swis721 BT" w:cs="Arial"/>
                <w:i/>
                <w:color w:val="A6A6A6" w:themeColor="background1" w:themeShade="A6"/>
                <w:szCs w:val="20"/>
              </w:rPr>
            </w:pPr>
          </w:p>
        </w:tc>
        <w:tc>
          <w:tcPr>
            <w:tcW w:w="5823" w:type="dxa"/>
          </w:tcPr>
          <w:p w14:paraId="27FAFABA" w14:textId="7D62F6DF" w:rsidR="00A959CF" w:rsidRPr="00C65A2C" w:rsidRDefault="00A959CF" w:rsidP="004A3DA5">
            <w:pPr>
              <w:spacing w:before="45"/>
              <w:ind w:right="-54"/>
              <w:rPr>
                <w:rFonts w:eastAsia="Swis721 BT" w:cs="Arial"/>
                <w:i/>
                <w:color w:val="A6A6A6" w:themeColor="background1" w:themeShade="A6"/>
                <w:szCs w:val="20"/>
              </w:rPr>
            </w:pPr>
          </w:p>
        </w:tc>
        <w:tc>
          <w:tcPr>
            <w:tcW w:w="1276" w:type="dxa"/>
          </w:tcPr>
          <w:p w14:paraId="627188C9" w14:textId="55497038" w:rsidR="00A959CF" w:rsidRPr="00C65A2C" w:rsidRDefault="00A959CF" w:rsidP="004A3DA5">
            <w:pPr>
              <w:spacing w:before="45"/>
              <w:ind w:right="-54"/>
              <w:rPr>
                <w:rFonts w:eastAsia="Swis721 BT" w:cs="Arial"/>
                <w:i/>
                <w:color w:val="A6A6A6" w:themeColor="background1" w:themeShade="A6"/>
                <w:szCs w:val="20"/>
              </w:rPr>
            </w:pPr>
          </w:p>
        </w:tc>
        <w:tc>
          <w:tcPr>
            <w:tcW w:w="1559" w:type="dxa"/>
          </w:tcPr>
          <w:p w14:paraId="719E0D24" w14:textId="0FEB69E0" w:rsidR="00A959CF" w:rsidRPr="00C65A2C" w:rsidRDefault="00A959CF" w:rsidP="004A3DA5">
            <w:pPr>
              <w:spacing w:before="45"/>
              <w:ind w:right="-54"/>
              <w:rPr>
                <w:rFonts w:eastAsia="Swis721 BT" w:cs="Arial"/>
                <w:i/>
                <w:color w:val="A6A6A6" w:themeColor="background1" w:themeShade="A6"/>
                <w:szCs w:val="20"/>
              </w:rPr>
            </w:pPr>
          </w:p>
        </w:tc>
      </w:tr>
      <w:tr w:rsidR="00A959CF" w:rsidRPr="00934D96" w14:paraId="78F1B8D7" w14:textId="77777777" w:rsidTr="00A959CF">
        <w:tc>
          <w:tcPr>
            <w:tcW w:w="1977" w:type="dxa"/>
          </w:tcPr>
          <w:p w14:paraId="3FC0EC95" w14:textId="77777777" w:rsidR="00A959CF" w:rsidRPr="00934D96" w:rsidRDefault="00A959CF" w:rsidP="004A3DA5">
            <w:pPr>
              <w:spacing w:before="45"/>
              <w:ind w:right="-54"/>
              <w:rPr>
                <w:rFonts w:eastAsia="Swis721 BT" w:cs="Arial"/>
                <w:szCs w:val="20"/>
              </w:rPr>
            </w:pPr>
          </w:p>
        </w:tc>
        <w:tc>
          <w:tcPr>
            <w:tcW w:w="2123" w:type="dxa"/>
          </w:tcPr>
          <w:p w14:paraId="6740DB5B" w14:textId="77777777" w:rsidR="00A959CF" w:rsidRPr="00934D96" w:rsidRDefault="00A959CF" w:rsidP="004A3DA5">
            <w:pPr>
              <w:spacing w:before="45"/>
              <w:ind w:right="-54"/>
              <w:rPr>
                <w:rFonts w:eastAsia="Swis721 BT" w:cs="Arial"/>
                <w:szCs w:val="20"/>
              </w:rPr>
            </w:pPr>
          </w:p>
        </w:tc>
        <w:tc>
          <w:tcPr>
            <w:tcW w:w="5823" w:type="dxa"/>
          </w:tcPr>
          <w:p w14:paraId="3E2C19FC" w14:textId="77777777" w:rsidR="00A959CF" w:rsidRPr="00934D96" w:rsidRDefault="00A959CF" w:rsidP="004A3DA5">
            <w:pPr>
              <w:spacing w:before="45"/>
              <w:ind w:right="-54"/>
              <w:rPr>
                <w:rFonts w:eastAsia="Swis721 BT" w:cs="Arial"/>
                <w:szCs w:val="20"/>
              </w:rPr>
            </w:pPr>
          </w:p>
        </w:tc>
        <w:tc>
          <w:tcPr>
            <w:tcW w:w="1276" w:type="dxa"/>
          </w:tcPr>
          <w:p w14:paraId="3CEDAFEA" w14:textId="77777777" w:rsidR="00A959CF" w:rsidRPr="00934D96" w:rsidRDefault="00A959CF" w:rsidP="004A3DA5">
            <w:pPr>
              <w:spacing w:before="45"/>
              <w:ind w:right="-54"/>
              <w:rPr>
                <w:rFonts w:eastAsia="Swis721 BT" w:cs="Arial"/>
                <w:szCs w:val="20"/>
              </w:rPr>
            </w:pPr>
          </w:p>
        </w:tc>
        <w:tc>
          <w:tcPr>
            <w:tcW w:w="1559" w:type="dxa"/>
          </w:tcPr>
          <w:p w14:paraId="78F20D36" w14:textId="77777777" w:rsidR="00A959CF" w:rsidRPr="00934D96" w:rsidRDefault="00A959CF" w:rsidP="004A3DA5">
            <w:pPr>
              <w:spacing w:before="45"/>
              <w:ind w:right="-54"/>
              <w:rPr>
                <w:rFonts w:eastAsia="Swis721 BT" w:cs="Arial"/>
                <w:szCs w:val="20"/>
              </w:rPr>
            </w:pPr>
          </w:p>
        </w:tc>
      </w:tr>
      <w:tr w:rsidR="00A959CF" w:rsidRPr="00934D96" w14:paraId="66BACFAB" w14:textId="77777777" w:rsidTr="00A959CF">
        <w:tc>
          <w:tcPr>
            <w:tcW w:w="1977" w:type="dxa"/>
          </w:tcPr>
          <w:p w14:paraId="6C4D036B" w14:textId="77777777" w:rsidR="00A959CF" w:rsidRPr="00934D96" w:rsidRDefault="00A959CF" w:rsidP="004A3DA5">
            <w:pPr>
              <w:spacing w:before="45"/>
              <w:ind w:right="-54"/>
              <w:rPr>
                <w:rFonts w:eastAsia="Swis721 BT" w:cs="Arial"/>
                <w:szCs w:val="20"/>
              </w:rPr>
            </w:pPr>
          </w:p>
        </w:tc>
        <w:tc>
          <w:tcPr>
            <w:tcW w:w="2123" w:type="dxa"/>
          </w:tcPr>
          <w:p w14:paraId="61890EB0" w14:textId="77777777" w:rsidR="00A959CF" w:rsidRPr="00934D96" w:rsidRDefault="00A959CF" w:rsidP="004A3DA5">
            <w:pPr>
              <w:spacing w:before="45"/>
              <w:ind w:right="-54"/>
              <w:rPr>
                <w:rFonts w:eastAsia="Swis721 BT" w:cs="Arial"/>
                <w:szCs w:val="20"/>
              </w:rPr>
            </w:pPr>
          </w:p>
        </w:tc>
        <w:tc>
          <w:tcPr>
            <w:tcW w:w="5823" w:type="dxa"/>
          </w:tcPr>
          <w:p w14:paraId="620568A7" w14:textId="77777777" w:rsidR="00A959CF" w:rsidRPr="00934D96" w:rsidRDefault="00A959CF" w:rsidP="004A3DA5">
            <w:pPr>
              <w:spacing w:before="45"/>
              <w:ind w:right="-54"/>
              <w:rPr>
                <w:rFonts w:eastAsia="Swis721 BT" w:cs="Arial"/>
                <w:szCs w:val="20"/>
              </w:rPr>
            </w:pPr>
          </w:p>
        </w:tc>
        <w:tc>
          <w:tcPr>
            <w:tcW w:w="1276" w:type="dxa"/>
          </w:tcPr>
          <w:p w14:paraId="048CAC08" w14:textId="77777777" w:rsidR="00A959CF" w:rsidRPr="00934D96" w:rsidRDefault="00A959CF" w:rsidP="004A3DA5">
            <w:pPr>
              <w:spacing w:before="45"/>
              <w:ind w:right="-54"/>
              <w:rPr>
                <w:rFonts w:eastAsia="Swis721 BT" w:cs="Arial"/>
                <w:szCs w:val="20"/>
              </w:rPr>
            </w:pPr>
          </w:p>
        </w:tc>
        <w:tc>
          <w:tcPr>
            <w:tcW w:w="1559" w:type="dxa"/>
          </w:tcPr>
          <w:p w14:paraId="429845CE" w14:textId="77777777" w:rsidR="00A959CF" w:rsidRPr="00934D96" w:rsidRDefault="00A959CF" w:rsidP="004A3DA5">
            <w:pPr>
              <w:spacing w:before="45"/>
              <w:ind w:right="-54"/>
              <w:rPr>
                <w:rFonts w:eastAsia="Swis721 BT" w:cs="Arial"/>
                <w:szCs w:val="20"/>
              </w:rPr>
            </w:pPr>
          </w:p>
        </w:tc>
      </w:tr>
      <w:tr w:rsidR="00A959CF" w:rsidRPr="00934D96" w14:paraId="6BEAE52F" w14:textId="77777777" w:rsidTr="00A959CF">
        <w:tc>
          <w:tcPr>
            <w:tcW w:w="1977" w:type="dxa"/>
          </w:tcPr>
          <w:p w14:paraId="27BDB92D" w14:textId="77777777" w:rsidR="00A959CF" w:rsidRPr="00934D96" w:rsidRDefault="00A959CF" w:rsidP="004A3DA5">
            <w:pPr>
              <w:spacing w:before="45"/>
              <w:ind w:right="-54"/>
              <w:rPr>
                <w:rFonts w:eastAsia="Swis721 BT" w:cs="Arial"/>
                <w:szCs w:val="20"/>
              </w:rPr>
            </w:pPr>
          </w:p>
        </w:tc>
        <w:tc>
          <w:tcPr>
            <w:tcW w:w="2123" w:type="dxa"/>
          </w:tcPr>
          <w:p w14:paraId="3475B5F6" w14:textId="77777777" w:rsidR="00A959CF" w:rsidRPr="00934D96" w:rsidRDefault="00A959CF" w:rsidP="004A3DA5">
            <w:pPr>
              <w:spacing w:before="45"/>
              <w:ind w:right="-54"/>
              <w:rPr>
                <w:rFonts w:eastAsia="Swis721 BT" w:cs="Arial"/>
                <w:szCs w:val="20"/>
              </w:rPr>
            </w:pPr>
          </w:p>
        </w:tc>
        <w:tc>
          <w:tcPr>
            <w:tcW w:w="5823" w:type="dxa"/>
          </w:tcPr>
          <w:p w14:paraId="22D26434" w14:textId="77777777" w:rsidR="00A959CF" w:rsidRPr="00934D96" w:rsidRDefault="00A959CF" w:rsidP="004A3DA5">
            <w:pPr>
              <w:spacing w:before="45"/>
              <w:ind w:right="-54"/>
              <w:rPr>
                <w:rFonts w:eastAsia="Swis721 BT" w:cs="Arial"/>
                <w:szCs w:val="20"/>
              </w:rPr>
            </w:pPr>
          </w:p>
        </w:tc>
        <w:tc>
          <w:tcPr>
            <w:tcW w:w="1276" w:type="dxa"/>
          </w:tcPr>
          <w:p w14:paraId="7C5ADD74" w14:textId="77777777" w:rsidR="00A959CF" w:rsidRPr="00934D96" w:rsidRDefault="00A959CF" w:rsidP="004A3DA5">
            <w:pPr>
              <w:spacing w:before="45"/>
              <w:ind w:right="-54"/>
              <w:rPr>
                <w:rFonts w:eastAsia="Swis721 BT" w:cs="Arial"/>
                <w:szCs w:val="20"/>
              </w:rPr>
            </w:pPr>
          </w:p>
        </w:tc>
        <w:tc>
          <w:tcPr>
            <w:tcW w:w="1559" w:type="dxa"/>
          </w:tcPr>
          <w:p w14:paraId="114A56A6" w14:textId="77777777" w:rsidR="00A959CF" w:rsidRPr="00934D96" w:rsidRDefault="00A959CF" w:rsidP="004A3DA5">
            <w:pPr>
              <w:spacing w:before="45"/>
              <w:ind w:right="-54"/>
              <w:rPr>
                <w:rFonts w:eastAsia="Swis721 BT" w:cs="Arial"/>
                <w:szCs w:val="20"/>
              </w:rPr>
            </w:pPr>
          </w:p>
        </w:tc>
      </w:tr>
      <w:tr w:rsidR="00A959CF" w:rsidRPr="00934D96" w14:paraId="503250CD" w14:textId="77777777" w:rsidTr="00A959CF">
        <w:tc>
          <w:tcPr>
            <w:tcW w:w="1977" w:type="dxa"/>
          </w:tcPr>
          <w:p w14:paraId="2D6735D6" w14:textId="77777777" w:rsidR="00A959CF" w:rsidRPr="00934D96" w:rsidRDefault="00A959CF" w:rsidP="004A3DA5">
            <w:pPr>
              <w:spacing w:before="45"/>
              <w:ind w:right="-54"/>
              <w:rPr>
                <w:rFonts w:eastAsia="Swis721 BT" w:cs="Arial"/>
                <w:szCs w:val="20"/>
              </w:rPr>
            </w:pPr>
          </w:p>
        </w:tc>
        <w:tc>
          <w:tcPr>
            <w:tcW w:w="2123" w:type="dxa"/>
          </w:tcPr>
          <w:p w14:paraId="6B890CA9" w14:textId="77777777" w:rsidR="00A959CF" w:rsidRPr="00934D96" w:rsidRDefault="00A959CF" w:rsidP="004A3DA5">
            <w:pPr>
              <w:spacing w:before="45"/>
              <w:ind w:right="-54"/>
              <w:rPr>
                <w:rFonts w:eastAsia="Swis721 BT" w:cs="Arial"/>
                <w:szCs w:val="20"/>
              </w:rPr>
            </w:pPr>
          </w:p>
        </w:tc>
        <w:tc>
          <w:tcPr>
            <w:tcW w:w="5823" w:type="dxa"/>
          </w:tcPr>
          <w:p w14:paraId="03B798E6" w14:textId="77777777" w:rsidR="00A959CF" w:rsidRPr="00934D96" w:rsidRDefault="00A959CF" w:rsidP="004A3DA5">
            <w:pPr>
              <w:spacing w:before="45"/>
              <w:ind w:right="-54"/>
              <w:rPr>
                <w:rFonts w:eastAsia="Swis721 BT" w:cs="Arial"/>
                <w:szCs w:val="20"/>
              </w:rPr>
            </w:pPr>
          </w:p>
        </w:tc>
        <w:tc>
          <w:tcPr>
            <w:tcW w:w="1276" w:type="dxa"/>
          </w:tcPr>
          <w:p w14:paraId="35715971" w14:textId="77777777" w:rsidR="00A959CF" w:rsidRPr="00934D96" w:rsidRDefault="00A959CF" w:rsidP="004A3DA5">
            <w:pPr>
              <w:spacing w:before="45"/>
              <w:ind w:right="-54"/>
              <w:rPr>
                <w:rFonts w:eastAsia="Swis721 BT" w:cs="Arial"/>
                <w:szCs w:val="20"/>
              </w:rPr>
            </w:pPr>
          </w:p>
        </w:tc>
        <w:tc>
          <w:tcPr>
            <w:tcW w:w="1559" w:type="dxa"/>
          </w:tcPr>
          <w:p w14:paraId="69BB4426" w14:textId="77777777" w:rsidR="00A959CF" w:rsidRPr="00934D96" w:rsidRDefault="00A959CF" w:rsidP="004A3DA5">
            <w:pPr>
              <w:spacing w:before="45"/>
              <w:ind w:right="-54"/>
              <w:rPr>
                <w:rFonts w:eastAsia="Swis721 BT" w:cs="Arial"/>
                <w:szCs w:val="20"/>
              </w:rPr>
            </w:pPr>
          </w:p>
        </w:tc>
      </w:tr>
      <w:tr w:rsidR="00C266B6" w:rsidRPr="00934D96" w14:paraId="0744B7B0" w14:textId="77777777" w:rsidTr="00A959CF">
        <w:tc>
          <w:tcPr>
            <w:tcW w:w="1977" w:type="dxa"/>
          </w:tcPr>
          <w:p w14:paraId="3FA71EB9" w14:textId="77777777" w:rsidR="00C266B6" w:rsidRPr="00934D96" w:rsidRDefault="00C266B6" w:rsidP="004A3DA5">
            <w:pPr>
              <w:spacing w:before="45"/>
              <w:ind w:right="-54"/>
              <w:rPr>
                <w:rFonts w:eastAsia="Swis721 BT" w:cs="Arial"/>
                <w:szCs w:val="20"/>
              </w:rPr>
            </w:pPr>
          </w:p>
        </w:tc>
        <w:tc>
          <w:tcPr>
            <w:tcW w:w="2123" w:type="dxa"/>
          </w:tcPr>
          <w:p w14:paraId="095268A4" w14:textId="77777777" w:rsidR="00C266B6" w:rsidRPr="00934D96" w:rsidRDefault="00C266B6" w:rsidP="004A3DA5">
            <w:pPr>
              <w:spacing w:before="45"/>
              <w:ind w:right="-54"/>
              <w:rPr>
                <w:rFonts w:eastAsia="Swis721 BT" w:cs="Arial"/>
                <w:szCs w:val="20"/>
              </w:rPr>
            </w:pPr>
          </w:p>
        </w:tc>
        <w:tc>
          <w:tcPr>
            <w:tcW w:w="5823" w:type="dxa"/>
          </w:tcPr>
          <w:p w14:paraId="39850F5B" w14:textId="77777777" w:rsidR="00C266B6" w:rsidRPr="00934D96" w:rsidRDefault="00C266B6" w:rsidP="004A3DA5">
            <w:pPr>
              <w:spacing w:before="45"/>
              <w:ind w:right="-54"/>
              <w:rPr>
                <w:rFonts w:eastAsia="Swis721 BT" w:cs="Arial"/>
                <w:szCs w:val="20"/>
              </w:rPr>
            </w:pPr>
          </w:p>
        </w:tc>
        <w:tc>
          <w:tcPr>
            <w:tcW w:w="1276" w:type="dxa"/>
          </w:tcPr>
          <w:p w14:paraId="40AADD3E" w14:textId="77777777" w:rsidR="00C266B6" w:rsidRPr="00934D96" w:rsidRDefault="00C266B6" w:rsidP="004A3DA5">
            <w:pPr>
              <w:spacing w:before="45"/>
              <w:ind w:right="-54"/>
              <w:rPr>
                <w:rFonts w:eastAsia="Swis721 BT" w:cs="Arial"/>
                <w:szCs w:val="20"/>
              </w:rPr>
            </w:pPr>
          </w:p>
        </w:tc>
        <w:tc>
          <w:tcPr>
            <w:tcW w:w="1559" w:type="dxa"/>
          </w:tcPr>
          <w:p w14:paraId="75F65C6D" w14:textId="77777777" w:rsidR="00C266B6" w:rsidRPr="00934D96" w:rsidRDefault="00C266B6" w:rsidP="004A3DA5">
            <w:pPr>
              <w:spacing w:before="45"/>
              <w:ind w:right="-54"/>
              <w:rPr>
                <w:rFonts w:eastAsia="Swis721 BT" w:cs="Arial"/>
                <w:szCs w:val="20"/>
              </w:rPr>
            </w:pPr>
          </w:p>
        </w:tc>
      </w:tr>
      <w:tr w:rsidR="00C266B6" w:rsidRPr="00934D96" w14:paraId="011F46B2" w14:textId="77777777" w:rsidTr="00A959CF">
        <w:tc>
          <w:tcPr>
            <w:tcW w:w="1977" w:type="dxa"/>
          </w:tcPr>
          <w:p w14:paraId="6928D0D1" w14:textId="77777777" w:rsidR="00C266B6" w:rsidRPr="00934D96" w:rsidRDefault="00C266B6" w:rsidP="004A3DA5">
            <w:pPr>
              <w:spacing w:before="45"/>
              <w:ind w:right="-54"/>
              <w:rPr>
                <w:rFonts w:eastAsia="Swis721 BT" w:cs="Arial"/>
                <w:szCs w:val="20"/>
              </w:rPr>
            </w:pPr>
          </w:p>
        </w:tc>
        <w:tc>
          <w:tcPr>
            <w:tcW w:w="2123" w:type="dxa"/>
          </w:tcPr>
          <w:p w14:paraId="5DDFD457" w14:textId="77777777" w:rsidR="00C266B6" w:rsidRPr="00934D96" w:rsidRDefault="00C266B6" w:rsidP="004A3DA5">
            <w:pPr>
              <w:spacing w:before="45"/>
              <w:ind w:right="-54"/>
              <w:rPr>
                <w:rFonts w:eastAsia="Swis721 BT" w:cs="Arial"/>
                <w:szCs w:val="20"/>
              </w:rPr>
            </w:pPr>
          </w:p>
        </w:tc>
        <w:tc>
          <w:tcPr>
            <w:tcW w:w="5823" w:type="dxa"/>
          </w:tcPr>
          <w:p w14:paraId="6EE1F574" w14:textId="77777777" w:rsidR="00C266B6" w:rsidRPr="00934D96" w:rsidRDefault="00C266B6" w:rsidP="004A3DA5">
            <w:pPr>
              <w:spacing w:before="45"/>
              <w:ind w:right="-54"/>
              <w:rPr>
                <w:rFonts w:eastAsia="Swis721 BT" w:cs="Arial"/>
                <w:szCs w:val="20"/>
              </w:rPr>
            </w:pPr>
          </w:p>
        </w:tc>
        <w:tc>
          <w:tcPr>
            <w:tcW w:w="1276" w:type="dxa"/>
          </w:tcPr>
          <w:p w14:paraId="6D9259E6" w14:textId="77777777" w:rsidR="00C266B6" w:rsidRPr="00934D96" w:rsidRDefault="00C266B6" w:rsidP="004A3DA5">
            <w:pPr>
              <w:spacing w:before="45"/>
              <w:ind w:right="-54"/>
              <w:rPr>
                <w:rFonts w:eastAsia="Swis721 BT" w:cs="Arial"/>
                <w:szCs w:val="20"/>
              </w:rPr>
            </w:pPr>
          </w:p>
        </w:tc>
        <w:tc>
          <w:tcPr>
            <w:tcW w:w="1559" w:type="dxa"/>
          </w:tcPr>
          <w:p w14:paraId="228FC903" w14:textId="77777777" w:rsidR="00C266B6" w:rsidRPr="00934D96" w:rsidRDefault="00C266B6" w:rsidP="004A3DA5">
            <w:pPr>
              <w:spacing w:before="45"/>
              <w:ind w:right="-54"/>
              <w:rPr>
                <w:rFonts w:eastAsia="Swis721 BT" w:cs="Arial"/>
                <w:szCs w:val="20"/>
              </w:rPr>
            </w:pPr>
          </w:p>
        </w:tc>
      </w:tr>
      <w:tr w:rsidR="00C266B6" w:rsidRPr="00934D96" w14:paraId="63057604" w14:textId="77777777" w:rsidTr="00A959CF">
        <w:tc>
          <w:tcPr>
            <w:tcW w:w="1977" w:type="dxa"/>
          </w:tcPr>
          <w:p w14:paraId="115A17A1" w14:textId="77777777" w:rsidR="00C266B6" w:rsidRPr="00934D96" w:rsidRDefault="00C266B6" w:rsidP="004A3DA5">
            <w:pPr>
              <w:spacing w:before="45"/>
              <w:ind w:right="-54"/>
              <w:rPr>
                <w:rFonts w:eastAsia="Swis721 BT" w:cs="Arial"/>
                <w:szCs w:val="20"/>
              </w:rPr>
            </w:pPr>
          </w:p>
        </w:tc>
        <w:tc>
          <w:tcPr>
            <w:tcW w:w="2123" w:type="dxa"/>
          </w:tcPr>
          <w:p w14:paraId="4849412C" w14:textId="77777777" w:rsidR="00C266B6" w:rsidRPr="00934D96" w:rsidRDefault="00C266B6" w:rsidP="004A3DA5">
            <w:pPr>
              <w:spacing w:before="45"/>
              <w:ind w:right="-54"/>
              <w:rPr>
                <w:rFonts w:eastAsia="Swis721 BT" w:cs="Arial"/>
                <w:szCs w:val="20"/>
              </w:rPr>
            </w:pPr>
          </w:p>
        </w:tc>
        <w:tc>
          <w:tcPr>
            <w:tcW w:w="5823" w:type="dxa"/>
          </w:tcPr>
          <w:p w14:paraId="3D560BFA" w14:textId="77777777" w:rsidR="00C266B6" w:rsidRPr="00934D96" w:rsidRDefault="00C266B6" w:rsidP="004A3DA5">
            <w:pPr>
              <w:spacing w:before="45"/>
              <w:ind w:right="-54"/>
              <w:rPr>
                <w:rFonts w:eastAsia="Swis721 BT" w:cs="Arial"/>
                <w:szCs w:val="20"/>
              </w:rPr>
            </w:pPr>
          </w:p>
        </w:tc>
        <w:tc>
          <w:tcPr>
            <w:tcW w:w="1276" w:type="dxa"/>
          </w:tcPr>
          <w:p w14:paraId="29164B3E" w14:textId="77777777" w:rsidR="00C266B6" w:rsidRPr="00934D96" w:rsidRDefault="00C266B6" w:rsidP="004A3DA5">
            <w:pPr>
              <w:spacing w:before="45"/>
              <w:ind w:right="-54"/>
              <w:rPr>
                <w:rFonts w:eastAsia="Swis721 BT" w:cs="Arial"/>
                <w:szCs w:val="20"/>
              </w:rPr>
            </w:pPr>
          </w:p>
        </w:tc>
        <w:tc>
          <w:tcPr>
            <w:tcW w:w="1559" w:type="dxa"/>
          </w:tcPr>
          <w:p w14:paraId="57513FB2" w14:textId="77777777" w:rsidR="00C266B6" w:rsidRPr="00934D96" w:rsidRDefault="00C266B6" w:rsidP="004A3DA5">
            <w:pPr>
              <w:spacing w:before="45"/>
              <w:ind w:right="-54"/>
              <w:rPr>
                <w:rFonts w:eastAsia="Swis721 BT" w:cs="Arial"/>
                <w:szCs w:val="20"/>
              </w:rPr>
            </w:pPr>
          </w:p>
        </w:tc>
      </w:tr>
      <w:tr w:rsidR="00C266B6" w:rsidRPr="00934D96" w14:paraId="2F30D4ED" w14:textId="77777777" w:rsidTr="00A959CF">
        <w:tc>
          <w:tcPr>
            <w:tcW w:w="1977" w:type="dxa"/>
          </w:tcPr>
          <w:p w14:paraId="23A17FA4" w14:textId="77777777" w:rsidR="00C266B6" w:rsidRPr="00934D96" w:rsidRDefault="00C266B6" w:rsidP="004A3DA5">
            <w:pPr>
              <w:spacing w:before="45"/>
              <w:ind w:right="-54"/>
              <w:rPr>
                <w:rFonts w:eastAsia="Swis721 BT" w:cs="Arial"/>
                <w:szCs w:val="20"/>
              </w:rPr>
            </w:pPr>
          </w:p>
        </w:tc>
        <w:tc>
          <w:tcPr>
            <w:tcW w:w="2123" w:type="dxa"/>
          </w:tcPr>
          <w:p w14:paraId="05AA7DA7" w14:textId="77777777" w:rsidR="00C266B6" w:rsidRPr="00934D96" w:rsidRDefault="00C266B6" w:rsidP="004A3DA5">
            <w:pPr>
              <w:spacing w:before="45"/>
              <w:ind w:right="-54"/>
              <w:rPr>
                <w:rFonts w:eastAsia="Swis721 BT" w:cs="Arial"/>
                <w:szCs w:val="20"/>
              </w:rPr>
            </w:pPr>
          </w:p>
        </w:tc>
        <w:tc>
          <w:tcPr>
            <w:tcW w:w="5823" w:type="dxa"/>
          </w:tcPr>
          <w:p w14:paraId="78A31AF0" w14:textId="77777777" w:rsidR="00C266B6" w:rsidRPr="00934D96" w:rsidRDefault="00C266B6" w:rsidP="004A3DA5">
            <w:pPr>
              <w:spacing w:before="45"/>
              <w:ind w:right="-54"/>
              <w:rPr>
                <w:rFonts w:eastAsia="Swis721 BT" w:cs="Arial"/>
                <w:szCs w:val="20"/>
              </w:rPr>
            </w:pPr>
          </w:p>
        </w:tc>
        <w:tc>
          <w:tcPr>
            <w:tcW w:w="1276" w:type="dxa"/>
          </w:tcPr>
          <w:p w14:paraId="244D5247" w14:textId="77777777" w:rsidR="00C266B6" w:rsidRPr="00934D96" w:rsidRDefault="00C266B6" w:rsidP="004A3DA5">
            <w:pPr>
              <w:spacing w:before="45"/>
              <w:ind w:right="-54"/>
              <w:rPr>
                <w:rFonts w:eastAsia="Swis721 BT" w:cs="Arial"/>
                <w:szCs w:val="20"/>
              </w:rPr>
            </w:pPr>
          </w:p>
        </w:tc>
        <w:tc>
          <w:tcPr>
            <w:tcW w:w="1559" w:type="dxa"/>
          </w:tcPr>
          <w:p w14:paraId="455A2B02" w14:textId="77777777" w:rsidR="00C266B6" w:rsidRPr="00934D96" w:rsidRDefault="00C266B6" w:rsidP="004A3DA5">
            <w:pPr>
              <w:spacing w:before="45"/>
              <w:ind w:right="-54"/>
              <w:rPr>
                <w:rFonts w:eastAsia="Swis721 BT" w:cs="Arial"/>
                <w:szCs w:val="20"/>
              </w:rPr>
            </w:pPr>
          </w:p>
        </w:tc>
      </w:tr>
      <w:tr w:rsidR="00C266B6" w:rsidRPr="00934D96" w14:paraId="502754C2" w14:textId="77777777" w:rsidTr="00A959CF">
        <w:tc>
          <w:tcPr>
            <w:tcW w:w="1977" w:type="dxa"/>
          </w:tcPr>
          <w:p w14:paraId="1CEE0D5E" w14:textId="77777777" w:rsidR="00C266B6" w:rsidRPr="00934D96" w:rsidRDefault="00C266B6" w:rsidP="004A3DA5">
            <w:pPr>
              <w:spacing w:before="45"/>
              <w:ind w:right="-54"/>
              <w:rPr>
                <w:rFonts w:eastAsia="Swis721 BT" w:cs="Arial"/>
                <w:szCs w:val="20"/>
              </w:rPr>
            </w:pPr>
          </w:p>
        </w:tc>
        <w:tc>
          <w:tcPr>
            <w:tcW w:w="2123" w:type="dxa"/>
          </w:tcPr>
          <w:p w14:paraId="73839979" w14:textId="77777777" w:rsidR="00C266B6" w:rsidRPr="00934D96" w:rsidRDefault="00C266B6" w:rsidP="004A3DA5">
            <w:pPr>
              <w:spacing w:before="45"/>
              <w:ind w:right="-54"/>
              <w:rPr>
                <w:rFonts w:eastAsia="Swis721 BT" w:cs="Arial"/>
                <w:szCs w:val="20"/>
              </w:rPr>
            </w:pPr>
          </w:p>
        </w:tc>
        <w:tc>
          <w:tcPr>
            <w:tcW w:w="5823" w:type="dxa"/>
          </w:tcPr>
          <w:p w14:paraId="1AA3BE5B" w14:textId="77777777" w:rsidR="00C266B6" w:rsidRPr="00934D96" w:rsidRDefault="00C266B6" w:rsidP="004A3DA5">
            <w:pPr>
              <w:spacing w:before="45"/>
              <w:ind w:right="-54"/>
              <w:rPr>
                <w:rFonts w:eastAsia="Swis721 BT" w:cs="Arial"/>
                <w:szCs w:val="20"/>
              </w:rPr>
            </w:pPr>
          </w:p>
        </w:tc>
        <w:tc>
          <w:tcPr>
            <w:tcW w:w="1276" w:type="dxa"/>
          </w:tcPr>
          <w:p w14:paraId="16CA653B" w14:textId="77777777" w:rsidR="00C266B6" w:rsidRPr="00934D96" w:rsidRDefault="00C266B6" w:rsidP="004A3DA5">
            <w:pPr>
              <w:spacing w:before="45"/>
              <w:ind w:right="-54"/>
              <w:rPr>
                <w:rFonts w:eastAsia="Swis721 BT" w:cs="Arial"/>
                <w:szCs w:val="20"/>
              </w:rPr>
            </w:pPr>
          </w:p>
        </w:tc>
        <w:tc>
          <w:tcPr>
            <w:tcW w:w="1559" w:type="dxa"/>
          </w:tcPr>
          <w:p w14:paraId="6D9A3670" w14:textId="77777777" w:rsidR="00C266B6" w:rsidRPr="00934D96" w:rsidRDefault="00C266B6" w:rsidP="004A3DA5">
            <w:pPr>
              <w:spacing w:before="45"/>
              <w:ind w:right="-54"/>
              <w:rPr>
                <w:rFonts w:eastAsia="Swis721 BT" w:cs="Arial"/>
                <w:szCs w:val="20"/>
              </w:rPr>
            </w:pPr>
          </w:p>
        </w:tc>
      </w:tr>
    </w:tbl>
    <w:p w14:paraId="1817DCBC" w14:textId="77777777" w:rsidR="00934D96" w:rsidRPr="00934D96" w:rsidRDefault="00934D96" w:rsidP="00934D96">
      <w:pPr>
        <w:tabs>
          <w:tab w:val="left" w:pos="1060"/>
          <w:tab w:val="left" w:pos="10206"/>
        </w:tabs>
        <w:spacing w:before="45" w:after="0" w:line="240" w:lineRule="auto"/>
        <w:ind w:right="-54"/>
        <w:rPr>
          <w:rFonts w:eastAsia="Swis721 BT" w:cs="Arial"/>
          <w:szCs w:val="20"/>
        </w:rPr>
      </w:pPr>
    </w:p>
    <w:p w14:paraId="667BE313" w14:textId="77777777" w:rsidR="00F16650" w:rsidRDefault="00F16650">
      <w:pPr>
        <w:rPr>
          <w:rFonts w:eastAsia="Swis721 BT" w:cs="Arial"/>
          <w:szCs w:val="20"/>
        </w:rPr>
      </w:pPr>
      <w:r>
        <w:rPr>
          <w:rFonts w:eastAsia="Swis721 BT" w:cs="Arial"/>
          <w:szCs w:val="20"/>
        </w:rPr>
        <w:br w:type="page"/>
      </w:r>
    </w:p>
    <w:p w14:paraId="39C33462" w14:textId="605A3806" w:rsidR="00F16650" w:rsidRPr="008B7E31" w:rsidRDefault="00F16650" w:rsidP="008B7E31">
      <w:pPr>
        <w:shd w:val="clear" w:color="auto" w:fill="B6DDE8" w:themeFill="accent5" w:themeFillTint="66"/>
        <w:tabs>
          <w:tab w:val="left" w:pos="567"/>
        </w:tabs>
        <w:spacing w:after="120" w:line="240" w:lineRule="auto"/>
        <w:rPr>
          <w:rFonts w:cs="Arial"/>
          <w:b/>
          <w:szCs w:val="20"/>
        </w:rPr>
      </w:pPr>
      <w:bookmarkStart w:id="0" w:name="_Ref494284444"/>
      <w:r w:rsidRPr="008B7E31">
        <w:rPr>
          <w:rFonts w:cs="Arial"/>
          <w:b/>
          <w:szCs w:val="20"/>
        </w:rPr>
        <w:lastRenderedPageBreak/>
        <w:t xml:space="preserve">Areas of Practice: </w:t>
      </w:r>
      <w:bookmarkEnd w:id="0"/>
      <w:r w:rsidR="00112A19">
        <w:rPr>
          <w:rFonts w:cs="Arial"/>
          <w:b/>
          <w:szCs w:val="20"/>
        </w:rPr>
        <w:t>Social Performance</w:t>
      </w:r>
    </w:p>
    <w:p w14:paraId="6C582E36" w14:textId="77777777" w:rsidR="00F84BF9" w:rsidRDefault="00F84BF9" w:rsidP="00F84BF9">
      <w:pPr>
        <w:pStyle w:val="BodyText"/>
        <w:spacing w:line="276" w:lineRule="auto"/>
        <w:ind w:left="0" w:right="545"/>
        <w:rPr>
          <w:sz w:val="20"/>
          <w:szCs w:val="20"/>
        </w:rPr>
      </w:pPr>
      <w:r w:rsidRPr="004069BC">
        <w:rPr>
          <w:sz w:val="20"/>
          <w:szCs w:val="20"/>
        </w:rPr>
        <w:t>Social Performance practitioners</w:t>
      </w:r>
      <w:r>
        <w:rPr>
          <w:sz w:val="20"/>
          <w:szCs w:val="20"/>
        </w:rPr>
        <w:t xml:space="preserve"> advise on, guide and </w:t>
      </w:r>
      <w:r w:rsidRPr="004069BC">
        <w:rPr>
          <w:sz w:val="20"/>
          <w:szCs w:val="20"/>
        </w:rPr>
        <w:t xml:space="preserve">undertake </w:t>
      </w:r>
      <w:r>
        <w:rPr>
          <w:sz w:val="20"/>
          <w:szCs w:val="20"/>
        </w:rPr>
        <w:t xml:space="preserve">work </w:t>
      </w:r>
      <w:r w:rsidRPr="004069BC">
        <w:rPr>
          <w:sz w:val="20"/>
          <w:szCs w:val="20"/>
        </w:rPr>
        <w:t xml:space="preserve">activities that seek to minimise harm and maximise benefits from minerals </w:t>
      </w:r>
      <w:r>
        <w:rPr>
          <w:sz w:val="20"/>
          <w:szCs w:val="20"/>
        </w:rPr>
        <w:t>sector</w:t>
      </w:r>
      <w:r w:rsidRPr="004069BC">
        <w:rPr>
          <w:sz w:val="20"/>
          <w:szCs w:val="20"/>
        </w:rPr>
        <w:t xml:space="preserve"> </w:t>
      </w:r>
      <w:r>
        <w:rPr>
          <w:sz w:val="20"/>
          <w:szCs w:val="20"/>
        </w:rPr>
        <w:t xml:space="preserve">enterprises </w:t>
      </w:r>
      <w:r w:rsidRPr="004069BC">
        <w:rPr>
          <w:sz w:val="20"/>
          <w:szCs w:val="20"/>
        </w:rPr>
        <w:t xml:space="preserve">on affected stakeholders and in doing so constructively and sustainably position </w:t>
      </w:r>
      <w:r>
        <w:rPr>
          <w:sz w:val="20"/>
          <w:szCs w:val="20"/>
        </w:rPr>
        <w:t>minerals sector activity in</w:t>
      </w:r>
      <w:r w:rsidRPr="004069BC">
        <w:rPr>
          <w:sz w:val="20"/>
          <w:szCs w:val="20"/>
        </w:rPr>
        <w:t xml:space="preserve"> </w:t>
      </w:r>
      <w:r>
        <w:rPr>
          <w:sz w:val="20"/>
          <w:szCs w:val="20"/>
        </w:rPr>
        <w:t xml:space="preserve">its </w:t>
      </w:r>
      <w:r w:rsidRPr="004069BC">
        <w:rPr>
          <w:sz w:val="20"/>
          <w:szCs w:val="20"/>
        </w:rPr>
        <w:t>social context.</w:t>
      </w:r>
      <w:r>
        <w:rPr>
          <w:sz w:val="20"/>
          <w:szCs w:val="20"/>
        </w:rPr>
        <w:t xml:space="preserve"> </w:t>
      </w:r>
      <w:r w:rsidRPr="004069BC">
        <w:rPr>
          <w:sz w:val="20"/>
          <w:szCs w:val="20"/>
        </w:rPr>
        <w:t xml:space="preserve">Social Performance work </w:t>
      </w:r>
      <w:r>
        <w:rPr>
          <w:sz w:val="20"/>
          <w:szCs w:val="20"/>
        </w:rPr>
        <w:t>undertaken effectively integrates across</w:t>
      </w:r>
      <w:r w:rsidRPr="004069BC">
        <w:rPr>
          <w:sz w:val="20"/>
          <w:szCs w:val="20"/>
        </w:rPr>
        <w:t xml:space="preserve"> </w:t>
      </w:r>
      <w:r>
        <w:rPr>
          <w:sz w:val="20"/>
          <w:szCs w:val="20"/>
        </w:rPr>
        <w:t>many</w:t>
      </w:r>
      <w:r w:rsidRPr="004069BC">
        <w:rPr>
          <w:sz w:val="20"/>
          <w:szCs w:val="20"/>
        </w:rPr>
        <w:t xml:space="preserve"> </w:t>
      </w:r>
      <w:r>
        <w:rPr>
          <w:sz w:val="20"/>
          <w:szCs w:val="20"/>
        </w:rPr>
        <w:t xml:space="preserve">enterprise functional areas through all stages of </w:t>
      </w:r>
      <w:r w:rsidRPr="004069BC">
        <w:rPr>
          <w:sz w:val="20"/>
          <w:szCs w:val="20"/>
        </w:rPr>
        <w:t xml:space="preserve">mineral exploration, </w:t>
      </w:r>
      <w:r>
        <w:rPr>
          <w:sz w:val="20"/>
          <w:szCs w:val="20"/>
        </w:rPr>
        <w:t>project evaluation, construction, operations, transition to closure and post-closure. It</w:t>
      </w:r>
      <w:r w:rsidRPr="004069BC">
        <w:rPr>
          <w:sz w:val="20"/>
          <w:szCs w:val="20"/>
        </w:rPr>
        <w:t xml:space="preserve"> includes the preparation and implementation of </w:t>
      </w:r>
      <w:r>
        <w:rPr>
          <w:sz w:val="20"/>
          <w:szCs w:val="20"/>
        </w:rPr>
        <w:t>S</w:t>
      </w:r>
      <w:r w:rsidRPr="004069BC">
        <w:rPr>
          <w:sz w:val="20"/>
          <w:szCs w:val="20"/>
        </w:rPr>
        <w:t xml:space="preserve">ocial </w:t>
      </w:r>
      <w:r>
        <w:rPr>
          <w:sz w:val="20"/>
          <w:szCs w:val="20"/>
        </w:rPr>
        <w:t>P</w:t>
      </w:r>
      <w:r w:rsidRPr="004069BC">
        <w:rPr>
          <w:sz w:val="20"/>
          <w:szCs w:val="20"/>
        </w:rPr>
        <w:t>erformance management plans that support optimal business strategy</w:t>
      </w:r>
      <w:r>
        <w:rPr>
          <w:sz w:val="20"/>
          <w:szCs w:val="20"/>
        </w:rPr>
        <w:t>,</w:t>
      </w:r>
      <w:r w:rsidRPr="30DA1D96">
        <w:rPr>
          <w:sz w:val="20"/>
          <w:szCs w:val="20"/>
        </w:rPr>
        <w:t xml:space="preserve"> </w:t>
      </w:r>
      <w:r w:rsidRPr="004069BC">
        <w:rPr>
          <w:sz w:val="20"/>
          <w:szCs w:val="20"/>
        </w:rPr>
        <w:t>socioeconomic research and monitoring, community engagement, the preparation of social-related compliance and other documentation required by government and financial lenders, the development of social-related business policy and involvement in assurance activities. It can also involve a range of activities that support the application of sustainable development principles in all stages of the resource extraction cycle.</w:t>
      </w:r>
    </w:p>
    <w:p w14:paraId="0DF1C701" w14:textId="77777777" w:rsidR="00F84BF9" w:rsidRDefault="00F84BF9" w:rsidP="00F84BF9">
      <w:pPr>
        <w:pStyle w:val="BodyText"/>
        <w:spacing w:line="276" w:lineRule="auto"/>
        <w:ind w:left="0" w:right="178"/>
      </w:pPr>
    </w:p>
    <w:p w14:paraId="1E244614" w14:textId="0843B21D" w:rsidR="00F84BF9" w:rsidRDefault="00F84BF9" w:rsidP="00F84BF9">
      <w:pPr>
        <w:rPr>
          <w:szCs w:val="20"/>
        </w:rPr>
      </w:pPr>
      <w:r w:rsidRPr="00A57941">
        <w:rPr>
          <w:szCs w:val="20"/>
        </w:rPr>
        <w:t xml:space="preserve">The following ‘Areas of Practice’ </w:t>
      </w:r>
      <w:r w:rsidR="00CB14EB">
        <w:rPr>
          <w:szCs w:val="20"/>
        </w:rPr>
        <w:t xml:space="preserve">(AoP) </w:t>
      </w:r>
      <w:r w:rsidRPr="00A57941">
        <w:rPr>
          <w:szCs w:val="20"/>
        </w:rPr>
        <w:t xml:space="preserve">descriptors and listed examples of competency indicators are intended to support </w:t>
      </w:r>
      <w:r>
        <w:rPr>
          <w:szCs w:val="20"/>
        </w:rPr>
        <w:t>S</w:t>
      </w:r>
      <w:r w:rsidRPr="00A57941">
        <w:rPr>
          <w:szCs w:val="20"/>
        </w:rPr>
        <w:t xml:space="preserve">ocial </w:t>
      </w:r>
      <w:r>
        <w:rPr>
          <w:szCs w:val="20"/>
        </w:rPr>
        <w:t>P</w:t>
      </w:r>
      <w:r w:rsidRPr="00A57941">
        <w:rPr>
          <w:szCs w:val="20"/>
        </w:rPr>
        <w:t xml:space="preserve">erformance professional development that provides a pathway to AusIMM Chartered Professional status. The ‘Areas of Practice’ are not all relevant everywhere, nor in their entirety to everyone </w:t>
      </w:r>
      <w:r>
        <w:rPr>
          <w:szCs w:val="20"/>
        </w:rPr>
        <w:t xml:space="preserve">in Social Performance roles </w:t>
      </w:r>
      <w:r w:rsidRPr="00A57941">
        <w:rPr>
          <w:szCs w:val="20"/>
        </w:rPr>
        <w:t>considering C</w:t>
      </w:r>
      <w:r w:rsidR="006031B5">
        <w:rPr>
          <w:szCs w:val="20"/>
        </w:rPr>
        <w:t xml:space="preserve">hartered </w:t>
      </w:r>
      <w:r w:rsidRPr="00A57941">
        <w:rPr>
          <w:szCs w:val="20"/>
        </w:rPr>
        <w:t>P</w:t>
      </w:r>
      <w:r w:rsidR="006031B5">
        <w:rPr>
          <w:szCs w:val="20"/>
        </w:rPr>
        <w:t>rofessional</w:t>
      </w:r>
      <w:r w:rsidRPr="00A57941">
        <w:rPr>
          <w:szCs w:val="20"/>
        </w:rPr>
        <w:t xml:space="preserve"> </w:t>
      </w:r>
      <w:r>
        <w:rPr>
          <w:szCs w:val="20"/>
        </w:rPr>
        <w:t xml:space="preserve">pathway and </w:t>
      </w:r>
      <w:r w:rsidRPr="00A57941">
        <w:rPr>
          <w:szCs w:val="20"/>
        </w:rPr>
        <w:t>status. They are updated regularly in response to evolving industry needs.</w:t>
      </w:r>
      <w:r w:rsidR="007B10D8">
        <w:rPr>
          <w:szCs w:val="20"/>
        </w:rPr>
        <w:t xml:space="preserve"> </w:t>
      </w:r>
      <w:r w:rsidR="005B02E7">
        <w:rPr>
          <w:szCs w:val="20"/>
        </w:rPr>
        <w:t>Some AoP’s</w:t>
      </w:r>
      <w:r w:rsidR="007B10D8">
        <w:rPr>
          <w:szCs w:val="20"/>
        </w:rPr>
        <w:t xml:space="preserve"> are </w:t>
      </w:r>
      <w:r w:rsidR="005B02E7">
        <w:rPr>
          <w:szCs w:val="20"/>
        </w:rPr>
        <w:t xml:space="preserve">systemic to the minerals sector, hence apply to both the </w:t>
      </w:r>
      <w:r w:rsidR="007B10D8">
        <w:rPr>
          <w:szCs w:val="20"/>
        </w:rPr>
        <w:t>Environment and Social Performance</w:t>
      </w:r>
      <w:r w:rsidR="005B02E7">
        <w:rPr>
          <w:szCs w:val="20"/>
        </w:rPr>
        <w:t xml:space="preserve"> disciplines and are identified accordingly</w:t>
      </w:r>
      <w:r w:rsidR="007B10D8">
        <w:rPr>
          <w:szCs w:val="20"/>
        </w:rPr>
        <w:t xml:space="preserve">. </w:t>
      </w:r>
    </w:p>
    <w:p w14:paraId="06C7816D" w14:textId="77777777" w:rsidR="00EC027D" w:rsidRDefault="00F84BF9" w:rsidP="00EC027D">
      <w:pPr>
        <w:numPr>
          <w:ilvl w:val="0"/>
          <w:numId w:val="9"/>
        </w:numPr>
        <w:spacing w:after="120"/>
        <w:ind w:left="284" w:hanging="284"/>
        <w:rPr>
          <w:rFonts w:cs="Arial"/>
          <w:szCs w:val="20"/>
        </w:rPr>
      </w:pPr>
      <w:r w:rsidRPr="00E02A69">
        <w:rPr>
          <w:rFonts w:eastAsia="Swis721 BT" w:cs="Arial"/>
          <w:i/>
          <w:szCs w:val="20"/>
          <w:u w:val="single"/>
        </w:rPr>
        <w:t xml:space="preserve">Social </w:t>
      </w:r>
      <w:r w:rsidR="00F16650" w:rsidRPr="00E02A69">
        <w:rPr>
          <w:rFonts w:eastAsia="Swis721 BT" w:cs="Arial"/>
          <w:i/>
          <w:szCs w:val="20"/>
          <w:u w:val="single"/>
        </w:rPr>
        <w:t>science</w:t>
      </w:r>
      <w:r w:rsidR="00B34E12" w:rsidRPr="00E02A69">
        <w:rPr>
          <w:rFonts w:eastAsia="Swis721 BT" w:cs="Arial"/>
          <w:i/>
          <w:szCs w:val="20"/>
          <w:u w:val="single"/>
        </w:rPr>
        <w:t>.</w:t>
      </w:r>
      <w:r w:rsidRPr="00E02A69">
        <w:rPr>
          <w:rFonts w:eastAsia="Swis721 BT" w:cs="Arial"/>
          <w:szCs w:val="20"/>
        </w:rPr>
        <w:t xml:space="preserve"> </w:t>
      </w:r>
      <w:r w:rsidRPr="00E02A69">
        <w:rPr>
          <w:szCs w:val="20"/>
        </w:rPr>
        <w:t>Collecting and interpreting social science data relevant to natural resource exploration, development, operations and closure. Competency indicators include:</w:t>
      </w:r>
    </w:p>
    <w:p w14:paraId="4168138F" w14:textId="77777777" w:rsidR="00EC027D" w:rsidRDefault="00F84BF9" w:rsidP="004F5FAC">
      <w:pPr>
        <w:numPr>
          <w:ilvl w:val="1"/>
          <w:numId w:val="9"/>
        </w:numPr>
        <w:spacing w:after="120"/>
        <w:ind w:left="993" w:hanging="709"/>
        <w:rPr>
          <w:rFonts w:cs="Arial"/>
          <w:szCs w:val="20"/>
        </w:rPr>
      </w:pPr>
      <w:r>
        <w:t xml:space="preserve">being proficient in desktop and field based </w:t>
      </w:r>
      <w:r w:rsidRPr="00774E11">
        <w:t>quantitative and qualit</w:t>
      </w:r>
      <w:r>
        <w:t>at</w:t>
      </w:r>
      <w:r w:rsidRPr="00774E11">
        <w:t xml:space="preserve">ive </w:t>
      </w:r>
      <w:r>
        <w:t>social science research;</w:t>
      </w:r>
      <w:r w:rsidRPr="002017BE">
        <w:t xml:space="preserve"> </w:t>
      </w:r>
    </w:p>
    <w:p w14:paraId="72D62C6F" w14:textId="77777777" w:rsidR="00EC027D" w:rsidRDefault="00F84BF9" w:rsidP="004F5FAC">
      <w:pPr>
        <w:numPr>
          <w:ilvl w:val="1"/>
          <w:numId w:val="9"/>
        </w:numPr>
        <w:spacing w:after="120"/>
        <w:ind w:left="993" w:hanging="709"/>
        <w:rPr>
          <w:rFonts w:cs="Arial"/>
          <w:szCs w:val="20"/>
        </w:rPr>
      </w:pPr>
      <w:r w:rsidRPr="05F650F9">
        <w:t xml:space="preserve">knowledge of development and behavioural studies, sociology, anthropology, ethnography and archaeology; </w:t>
      </w:r>
    </w:p>
    <w:p w14:paraId="1F065B53" w14:textId="77777777" w:rsidR="00EC027D" w:rsidRDefault="00F84BF9" w:rsidP="004F5FAC">
      <w:pPr>
        <w:numPr>
          <w:ilvl w:val="1"/>
          <w:numId w:val="9"/>
        </w:numPr>
        <w:spacing w:after="120"/>
        <w:ind w:left="993" w:hanging="709"/>
        <w:rPr>
          <w:rFonts w:cs="Arial"/>
          <w:szCs w:val="20"/>
        </w:rPr>
      </w:pPr>
      <w:r w:rsidRPr="30DA1D96">
        <w:t>compiling socioeconomic and sociocultural knowledgebase studies, including validation approaches;</w:t>
      </w:r>
    </w:p>
    <w:p w14:paraId="58A9C08A" w14:textId="77777777" w:rsidR="00EC027D" w:rsidRDefault="00F84BF9" w:rsidP="004F5FAC">
      <w:pPr>
        <w:numPr>
          <w:ilvl w:val="1"/>
          <w:numId w:val="9"/>
        </w:numPr>
        <w:spacing w:after="120"/>
        <w:ind w:left="993" w:hanging="709"/>
        <w:rPr>
          <w:rFonts w:cs="Arial"/>
          <w:szCs w:val="20"/>
        </w:rPr>
      </w:pPr>
      <w:r w:rsidRPr="00DD360E">
        <w:t xml:space="preserve">understanding and </w:t>
      </w:r>
      <w:r>
        <w:t xml:space="preserve">using risk </w:t>
      </w:r>
      <w:r w:rsidRPr="00DD360E">
        <w:t xml:space="preserve">frameworks to determine </w:t>
      </w:r>
      <w:r>
        <w:t>community and social group priorities;</w:t>
      </w:r>
    </w:p>
    <w:p w14:paraId="23776A20" w14:textId="77777777" w:rsidR="00EC027D" w:rsidRDefault="00F84BF9" w:rsidP="004F5FAC">
      <w:pPr>
        <w:numPr>
          <w:ilvl w:val="1"/>
          <w:numId w:val="9"/>
        </w:numPr>
        <w:spacing w:after="120"/>
        <w:ind w:left="993" w:hanging="709"/>
        <w:rPr>
          <w:rFonts w:cs="Arial"/>
          <w:szCs w:val="20"/>
        </w:rPr>
      </w:pPr>
      <w:r>
        <w:t xml:space="preserve">undertaking </w:t>
      </w:r>
      <w:r w:rsidRPr="00774E11">
        <w:t>Social Impact Assessment</w:t>
      </w:r>
      <w:r>
        <w:t xml:space="preserve"> (regulatory and business-driven), including human rights assessment;</w:t>
      </w:r>
    </w:p>
    <w:p w14:paraId="2BE991EF" w14:textId="77777777" w:rsidR="00EC027D" w:rsidRDefault="00F84BF9" w:rsidP="004F5FAC">
      <w:pPr>
        <w:numPr>
          <w:ilvl w:val="1"/>
          <w:numId w:val="9"/>
        </w:numPr>
        <w:spacing w:after="120"/>
        <w:ind w:left="993" w:hanging="709"/>
        <w:rPr>
          <w:rFonts w:cs="Arial"/>
          <w:szCs w:val="20"/>
        </w:rPr>
      </w:pPr>
      <w:r w:rsidRPr="1A0123E6">
        <w:t xml:space="preserve">understanding overarching gender, cultural diversity, vulnerable people and human rights considerations and </w:t>
      </w:r>
      <w:r>
        <w:t>taking these into account across all</w:t>
      </w:r>
      <w:r w:rsidRPr="1A0123E6">
        <w:t xml:space="preserve"> areas of practice;</w:t>
      </w:r>
    </w:p>
    <w:p w14:paraId="51B0A552" w14:textId="77777777" w:rsidR="00EC027D" w:rsidRDefault="00F84BF9" w:rsidP="004F5FAC">
      <w:pPr>
        <w:numPr>
          <w:ilvl w:val="1"/>
          <w:numId w:val="9"/>
        </w:numPr>
        <w:spacing w:after="120"/>
        <w:ind w:left="993" w:hanging="709"/>
        <w:rPr>
          <w:rFonts w:cs="Arial"/>
          <w:szCs w:val="20"/>
        </w:rPr>
      </w:pPr>
      <w:r>
        <w:t xml:space="preserve">understanding data distorting effects such as </w:t>
      </w:r>
      <w:r w:rsidRPr="00774E11">
        <w:t>‘survey fatigue’</w:t>
      </w:r>
      <w:r>
        <w:t xml:space="preserve"> and ‘observer effect’;</w:t>
      </w:r>
    </w:p>
    <w:p w14:paraId="418A4195" w14:textId="77777777" w:rsidR="00EC027D" w:rsidRDefault="00F84BF9" w:rsidP="004F5FAC">
      <w:pPr>
        <w:numPr>
          <w:ilvl w:val="1"/>
          <w:numId w:val="9"/>
        </w:numPr>
        <w:spacing w:after="120"/>
        <w:ind w:left="993" w:hanging="709"/>
        <w:rPr>
          <w:rFonts w:cs="Arial"/>
          <w:szCs w:val="20"/>
        </w:rPr>
      </w:pPr>
      <w:r>
        <w:t xml:space="preserve">familiarity with the </w:t>
      </w:r>
      <w:r w:rsidRPr="00D45B6F">
        <w:t xml:space="preserve">‘Capital’ frameworks </w:t>
      </w:r>
      <w:r>
        <w:t xml:space="preserve">model </w:t>
      </w:r>
      <w:r w:rsidRPr="00D45B6F">
        <w:t xml:space="preserve">(e.g. natural, social, human, built and financial), </w:t>
      </w:r>
      <w:r>
        <w:t xml:space="preserve">including </w:t>
      </w:r>
      <w:r w:rsidRPr="00D45B6F">
        <w:t>transfer flows and drivers; and</w:t>
      </w:r>
    </w:p>
    <w:p w14:paraId="527B5FE6" w14:textId="3E7C4C5C" w:rsidR="00A46398" w:rsidRPr="00EC027D" w:rsidRDefault="00F84BF9" w:rsidP="004F5FAC">
      <w:pPr>
        <w:numPr>
          <w:ilvl w:val="1"/>
          <w:numId w:val="9"/>
        </w:numPr>
        <w:spacing w:after="120"/>
        <w:ind w:left="993" w:hanging="709"/>
        <w:rPr>
          <w:rFonts w:cs="Arial"/>
          <w:szCs w:val="20"/>
        </w:rPr>
      </w:pPr>
      <w:r>
        <w:t>other social analysis frameworks relevant to natural resource extraction.</w:t>
      </w:r>
    </w:p>
    <w:p w14:paraId="1E9CD5F0" w14:textId="77777777" w:rsidR="00A46398" w:rsidRDefault="00B34E12" w:rsidP="00BA4F52">
      <w:pPr>
        <w:numPr>
          <w:ilvl w:val="0"/>
          <w:numId w:val="9"/>
        </w:numPr>
        <w:spacing w:after="120"/>
        <w:ind w:left="284" w:hanging="284"/>
        <w:rPr>
          <w:rFonts w:cs="Arial"/>
          <w:szCs w:val="20"/>
        </w:rPr>
      </w:pPr>
      <w:r w:rsidRPr="00A46398">
        <w:rPr>
          <w:i/>
          <w:szCs w:val="20"/>
          <w:u w:val="single"/>
        </w:rPr>
        <w:t>Community and stakeholder communication and engagement</w:t>
      </w:r>
      <w:r w:rsidRPr="00A46398">
        <w:rPr>
          <w:i/>
          <w:szCs w:val="20"/>
        </w:rPr>
        <w:t xml:space="preserve">. </w:t>
      </w:r>
      <w:r w:rsidRPr="00A46398">
        <w:rPr>
          <w:szCs w:val="20"/>
        </w:rPr>
        <w:t>Designing and implementing effective communication, consultation and engagement with affected communities and stakeholders. Competency indicators include:</w:t>
      </w:r>
    </w:p>
    <w:p w14:paraId="48E3D564" w14:textId="77777777" w:rsidR="00A46398" w:rsidRDefault="00B34E12" w:rsidP="004F5FAC">
      <w:pPr>
        <w:numPr>
          <w:ilvl w:val="1"/>
          <w:numId w:val="9"/>
        </w:numPr>
        <w:spacing w:after="120"/>
        <w:ind w:left="993" w:hanging="709"/>
        <w:rPr>
          <w:rFonts w:cs="Arial"/>
          <w:szCs w:val="20"/>
        </w:rPr>
      </w:pPr>
      <w:r w:rsidRPr="00A46398">
        <w:rPr>
          <w:szCs w:val="20"/>
        </w:rPr>
        <w:t>preparing stakeholder engagement plans;</w:t>
      </w:r>
    </w:p>
    <w:p w14:paraId="5AC07C9D" w14:textId="77777777" w:rsidR="00A46398" w:rsidRDefault="00B34E12" w:rsidP="004F5FAC">
      <w:pPr>
        <w:numPr>
          <w:ilvl w:val="1"/>
          <w:numId w:val="9"/>
        </w:numPr>
        <w:spacing w:after="120"/>
        <w:ind w:left="993" w:hanging="709"/>
        <w:rPr>
          <w:rFonts w:cs="Arial"/>
          <w:szCs w:val="20"/>
        </w:rPr>
      </w:pPr>
      <w:r w:rsidRPr="00A46398">
        <w:rPr>
          <w:szCs w:val="20"/>
        </w:rPr>
        <w:t>carrying out stakeholder mapping, including their interests, influence and materiality;</w:t>
      </w:r>
    </w:p>
    <w:p w14:paraId="49363EDC" w14:textId="77777777" w:rsidR="00A46398" w:rsidRDefault="00B34E12" w:rsidP="004F5FAC">
      <w:pPr>
        <w:numPr>
          <w:ilvl w:val="1"/>
          <w:numId w:val="9"/>
        </w:numPr>
        <w:spacing w:after="120"/>
        <w:ind w:left="993" w:hanging="709"/>
        <w:rPr>
          <w:rFonts w:cs="Arial"/>
          <w:szCs w:val="20"/>
        </w:rPr>
      </w:pPr>
      <w:r w:rsidRPr="00A46398">
        <w:rPr>
          <w:szCs w:val="20"/>
        </w:rPr>
        <w:lastRenderedPageBreak/>
        <w:t>identifying communities of direct interest within the stakeholder network;</w:t>
      </w:r>
    </w:p>
    <w:p w14:paraId="3C995A54" w14:textId="4F2515A6" w:rsidR="00A46398" w:rsidRDefault="00B34E12" w:rsidP="004F5FAC">
      <w:pPr>
        <w:numPr>
          <w:ilvl w:val="1"/>
          <w:numId w:val="9"/>
        </w:numPr>
        <w:tabs>
          <w:tab w:val="left" w:pos="142"/>
        </w:tabs>
        <w:spacing w:after="120"/>
        <w:ind w:left="993" w:hanging="709"/>
        <w:rPr>
          <w:rFonts w:cs="Arial"/>
          <w:szCs w:val="20"/>
        </w:rPr>
      </w:pPr>
      <w:r w:rsidRPr="00A46398">
        <w:rPr>
          <w:szCs w:val="20"/>
        </w:rPr>
        <w:t xml:space="preserve">organising and undertaking engagement activities at </w:t>
      </w:r>
      <w:r w:rsidR="009A629A">
        <w:rPr>
          <w:szCs w:val="20"/>
        </w:rPr>
        <w:t>individual</w:t>
      </w:r>
      <w:r w:rsidR="00760831" w:rsidRPr="00A46398">
        <w:rPr>
          <w:szCs w:val="20"/>
        </w:rPr>
        <w:t>, small group, medium</w:t>
      </w:r>
      <w:r w:rsidR="00A46398">
        <w:rPr>
          <w:szCs w:val="20"/>
        </w:rPr>
        <w:t>-</w:t>
      </w:r>
      <w:r w:rsidR="00760831" w:rsidRPr="00A46398">
        <w:rPr>
          <w:szCs w:val="20"/>
        </w:rPr>
        <w:t xml:space="preserve"> and large</w:t>
      </w:r>
      <w:r w:rsidR="00A46398">
        <w:rPr>
          <w:szCs w:val="20"/>
        </w:rPr>
        <w:t>-</w:t>
      </w:r>
      <w:r w:rsidR="00760831" w:rsidRPr="00A46398">
        <w:rPr>
          <w:szCs w:val="20"/>
        </w:rPr>
        <w:t>scale levels</w:t>
      </w:r>
      <w:r w:rsidRPr="00A46398">
        <w:rPr>
          <w:szCs w:val="20"/>
        </w:rPr>
        <w:t>;</w:t>
      </w:r>
    </w:p>
    <w:p w14:paraId="68ADBE53" w14:textId="77777777" w:rsidR="00A46398" w:rsidRDefault="00B34E12" w:rsidP="004F5FAC">
      <w:pPr>
        <w:numPr>
          <w:ilvl w:val="1"/>
          <w:numId w:val="9"/>
        </w:numPr>
        <w:spacing w:after="120"/>
        <w:ind w:left="993" w:hanging="709"/>
        <w:rPr>
          <w:rFonts w:cs="Arial"/>
          <w:szCs w:val="20"/>
        </w:rPr>
      </w:pPr>
      <w:r w:rsidRPr="00A46398">
        <w:rPr>
          <w:szCs w:val="20"/>
        </w:rPr>
        <w:t xml:space="preserve">sustaining community and stakeholder direct feedback of views and concerns regarding existing operations and proposed projects </w:t>
      </w:r>
    </w:p>
    <w:p w14:paraId="1C3E750C" w14:textId="77777777" w:rsidR="00A46398" w:rsidRDefault="00B34E12" w:rsidP="004F5FAC">
      <w:pPr>
        <w:numPr>
          <w:ilvl w:val="1"/>
          <w:numId w:val="9"/>
        </w:numPr>
        <w:tabs>
          <w:tab w:val="left" w:pos="142"/>
        </w:tabs>
        <w:spacing w:after="120"/>
        <w:ind w:left="993" w:hanging="709"/>
        <w:rPr>
          <w:rFonts w:cs="Arial"/>
          <w:szCs w:val="20"/>
        </w:rPr>
      </w:pPr>
      <w:r w:rsidRPr="00A46398">
        <w:rPr>
          <w:szCs w:val="20"/>
        </w:rPr>
        <w:t>preparing community and stakeholder communication plans including key messages; and</w:t>
      </w:r>
    </w:p>
    <w:p w14:paraId="2A2F1061" w14:textId="20FB18D7" w:rsidR="00AC7056" w:rsidRPr="007D72BD" w:rsidRDefault="00B34E12" w:rsidP="004F5FAC">
      <w:pPr>
        <w:numPr>
          <w:ilvl w:val="1"/>
          <w:numId w:val="9"/>
        </w:numPr>
        <w:tabs>
          <w:tab w:val="left" w:pos="142"/>
        </w:tabs>
        <w:spacing w:after="120"/>
        <w:ind w:left="993" w:hanging="709"/>
        <w:rPr>
          <w:rFonts w:cs="Arial"/>
          <w:szCs w:val="20"/>
        </w:rPr>
      </w:pPr>
      <w:r w:rsidRPr="00A46398">
        <w:rPr>
          <w:szCs w:val="20"/>
        </w:rPr>
        <w:t>skills in social media management.</w:t>
      </w:r>
    </w:p>
    <w:p w14:paraId="5BF4C6F2" w14:textId="77777777" w:rsidR="007D72BD" w:rsidRDefault="007D72BD" w:rsidP="007D72BD">
      <w:pPr>
        <w:tabs>
          <w:tab w:val="left" w:pos="142"/>
        </w:tabs>
        <w:spacing w:after="0"/>
        <w:ind w:left="284"/>
        <w:rPr>
          <w:rFonts w:cs="Arial"/>
          <w:szCs w:val="20"/>
        </w:rPr>
      </w:pPr>
    </w:p>
    <w:p w14:paraId="3A7FD378" w14:textId="77777777" w:rsidR="00AC7056" w:rsidRDefault="00B34E12" w:rsidP="00BA4F52">
      <w:pPr>
        <w:numPr>
          <w:ilvl w:val="0"/>
          <w:numId w:val="9"/>
        </w:numPr>
        <w:spacing w:after="120"/>
        <w:ind w:left="284" w:hanging="284"/>
        <w:rPr>
          <w:rFonts w:cs="Arial"/>
          <w:szCs w:val="20"/>
        </w:rPr>
      </w:pPr>
      <w:r w:rsidRPr="00AC7056">
        <w:rPr>
          <w:i/>
          <w:szCs w:val="20"/>
          <w:u w:val="single"/>
        </w:rPr>
        <w:t xml:space="preserve">Cultural competency and training. </w:t>
      </w:r>
      <w:r w:rsidRPr="00AC7056">
        <w:rPr>
          <w:szCs w:val="20"/>
        </w:rPr>
        <w:t xml:space="preserve">Understanding the customs, norms and values of different local and minority community groups. Competency indicators include: </w:t>
      </w:r>
    </w:p>
    <w:p w14:paraId="0CFF438F" w14:textId="77777777" w:rsidR="00AC7056" w:rsidRDefault="00B34E12" w:rsidP="004F5FAC">
      <w:pPr>
        <w:numPr>
          <w:ilvl w:val="1"/>
          <w:numId w:val="9"/>
        </w:numPr>
        <w:spacing w:after="120"/>
        <w:ind w:left="993" w:hanging="709"/>
        <w:rPr>
          <w:rFonts w:cs="Arial"/>
          <w:szCs w:val="20"/>
        </w:rPr>
      </w:pPr>
      <w:r w:rsidRPr="00AC7056">
        <w:rPr>
          <w:szCs w:val="20"/>
        </w:rPr>
        <w:t>knowing how and why these may differ from those of the dominant culture and how this affects how people experience the impacts of extractive activities;</w:t>
      </w:r>
    </w:p>
    <w:p w14:paraId="0FB40DBD" w14:textId="77777777" w:rsidR="00AC7056" w:rsidRDefault="00B34E12" w:rsidP="004F5FAC">
      <w:pPr>
        <w:numPr>
          <w:ilvl w:val="1"/>
          <w:numId w:val="9"/>
        </w:numPr>
        <w:spacing w:after="120"/>
        <w:ind w:left="993" w:hanging="709"/>
        <w:rPr>
          <w:rFonts w:cs="Arial"/>
          <w:szCs w:val="20"/>
        </w:rPr>
      </w:pPr>
      <w:r w:rsidRPr="00AC7056">
        <w:rPr>
          <w:szCs w:val="20"/>
        </w:rPr>
        <w:t xml:space="preserve">understanding how different world views affect social and business relationships, behaviours and political outcomes; </w:t>
      </w:r>
    </w:p>
    <w:p w14:paraId="3F54C7AB" w14:textId="77777777" w:rsidR="00AC7056" w:rsidRDefault="00B34E12" w:rsidP="004F5FAC">
      <w:pPr>
        <w:numPr>
          <w:ilvl w:val="1"/>
          <w:numId w:val="9"/>
        </w:numPr>
        <w:spacing w:after="120"/>
        <w:ind w:left="993" w:hanging="709"/>
        <w:rPr>
          <w:rFonts w:cs="Arial"/>
          <w:szCs w:val="20"/>
        </w:rPr>
      </w:pPr>
      <w:r w:rsidRPr="00AC7056">
        <w:rPr>
          <w:szCs w:val="20"/>
        </w:rPr>
        <w:t>understanding the difficulties that local, marginalised and other minority groups may experience in the face of development;</w:t>
      </w:r>
    </w:p>
    <w:p w14:paraId="0852016F" w14:textId="77777777" w:rsidR="00AC7056" w:rsidRDefault="00B34E12" w:rsidP="004F5FAC">
      <w:pPr>
        <w:numPr>
          <w:ilvl w:val="1"/>
          <w:numId w:val="9"/>
        </w:numPr>
        <w:spacing w:after="120"/>
        <w:ind w:left="993" w:hanging="709"/>
        <w:rPr>
          <w:rFonts w:cs="Arial"/>
          <w:szCs w:val="20"/>
        </w:rPr>
      </w:pPr>
      <w:r w:rsidRPr="00AC7056">
        <w:rPr>
          <w:szCs w:val="20"/>
        </w:rPr>
        <w:t>demonstrating respect for ethnic, race, gender, class and authority relationships;</w:t>
      </w:r>
    </w:p>
    <w:p w14:paraId="7CB76BD4" w14:textId="77777777" w:rsidR="00AC7056" w:rsidRDefault="00B34E12" w:rsidP="004F5FAC">
      <w:pPr>
        <w:numPr>
          <w:ilvl w:val="1"/>
          <w:numId w:val="9"/>
        </w:numPr>
        <w:spacing w:after="120"/>
        <w:ind w:left="993" w:hanging="709"/>
        <w:rPr>
          <w:rFonts w:cs="Arial"/>
          <w:szCs w:val="20"/>
        </w:rPr>
      </w:pPr>
      <w:r w:rsidRPr="00AC7056">
        <w:rPr>
          <w:szCs w:val="20"/>
        </w:rPr>
        <w:t>exercising the fundamentals of active listening, dialogue and consensus communication;</w:t>
      </w:r>
    </w:p>
    <w:p w14:paraId="418326C5" w14:textId="77777777" w:rsidR="00AC7056" w:rsidRDefault="00B34E12" w:rsidP="004F5FAC">
      <w:pPr>
        <w:numPr>
          <w:ilvl w:val="1"/>
          <w:numId w:val="9"/>
        </w:numPr>
        <w:spacing w:after="120"/>
        <w:ind w:left="993" w:hanging="709"/>
        <w:rPr>
          <w:rFonts w:cs="Arial"/>
          <w:szCs w:val="20"/>
        </w:rPr>
      </w:pPr>
      <w:r w:rsidRPr="00AC7056">
        <w:rPr>
          <w:szCs w:val="20"/>
        </w:rPr>
        <w:t>being able to fit local customs, values, rights, interests and norms into the context of legal and international conventions; and</w:t>
      </w:r>
    </w:p>
    <w:p w14:paraId="517964E5" w14:textId="1EE08436" w:rsidR="0066752D" w:rsidRPr="0066752D" w:rsidRDefault="00B34E12" w:rsidP="004F5FAC">
      <w:pPr>
        <w:numPr>
          <w:ilvl w:val="1"/>
          <w:numId w:val="9"/>
        </w:numPr>
        <w:spacing w:after="120"/>
        <w:ind w:left="993" w:hanging="709"/>
        <w:rPr>
          <w:rFonts w:cs="Arial"/>
          <w:szCs w:val="20"/>
        </w:rPr>
      </w:pPr>
      <w:r w:rsidRPr="00AC7056">
        <w:rPr>
          <w:szCs w:val="20"/>
        </w:rPr>
        <w:t>managing and delivering cross cultural training and induction.</w:t>
      </w:r>
    </w:p>
    <w:p w14:paraId="263CD546" w14:textId="77777777" w:rsidR="0066752D" w:rsidRDefault="0066752D" w:rsidP="0066752D">
      <w:pPr>
        <w:spacing w:after="0"/>
        <w:ind w:left="284"/>
        <w:rPr>
          <w:rFonts w:cs="Arial"/>
          <w:szCs w:val="20"/>
        </w:rPr>
      </w:pPr>
    </w:p>
    <w:p w14:paraId="5CB27F0D" w14:textId="77777777" w:rsidR="0066752D" w:rsidRDefault="00B34E12" w:rsidP="00BA4F52">
      <w:pPr>
        <w:numPr>
          <w:ilvl w:val="0"/>
          <w:numId w:val="9"/>
        </w:numPr>
        <w:spacing w:after="120"/>
        <w:ind w:left="284" w:hanging="284"/>
        <w:rPr>
          <w:rFonts w:cs="Arial"/>
          <w:szCs w:val="20"/>
        </w:rPr>
      </w:pPr>
      <w:r w:rsidRPr="0066752D">
        <w:rPr>
          <w:i/>
          <w:szCs w:val="20"/>
          <w:u w:val="single"/>
        </w:rPr>
        <w:t xml:space="preserve">Indigenous and land-connected peoples. </w:t>
      </w:r>
      <w:r>
        <w:t>U</w:t>
      </w:r>
      <w:r w:rsidRPr="0066752D">
        <w:rPr>
          <w:szCs w:val="20"/>
        </w:rPr>
        <w:t>nderstanding the risks, threats and opportunities when working with land-connected and Indigenous peoples. Competency indicators include:</w:t>
      </w:r>
    </w:p>
    <w:p w14:paraId="4E3C6020" w14:textId="77777777" w:rsidR="0066752D" w:rsidRDefault="00B34E12" w:rsidP="004F5FAC">
      <w:pPr>
        <w:numPr>
          <w:ilvl w:val="1"/>
          <w:numId w:val="9"/>
        </w:numPr>
        <w:spacing w:after="120"/>
        <w:ind w:left="993" w:hanging="709"/>
        <w:rPr>
          <w:rFonts w:cs="Arial"/>
          <w:szCs w:val="20"/>
        </w:rPr>
      </w:pPr>
      <w:r w:rsidRPr="0066752D">
        <w:rPr>
          <w:iCs/>
          <w:szCs w:val="20"/>
        </w:rPr>
        <w:t>understanding the social nature of Indigenous recognition;</w:t>
      </w:r>
    </w:p>
    <w:p w14:paraId="29BED68A" w14:textId="77777777" w:rsidR="0066752D" w:rsidRDefault="00B34E12" w:rsidP="004F5FAC">
      <w:pPr>
        <w:numPr>
          <w:ilvl w:val="1"/>
          <w:numId w:val="9"/>
        </w:numPr>
        <w:spacing w:after="120"/>
        <w:ind w:left="993" w:hanging="709"/>
        <w:rPr>
          <w:rFonts w:cs="Arial"/>
          <w:szCs w:val="20"/>
        </w:rPr>
      </w:pPr>
      <w:r w:rsidRPr="0066752D">
        <w:rPr>
          <w:szCs w:val="20"/>
        </w:rPr>
        <w:t>awareness of traditional and/or legal title and claims to land, water and other natural resources;</w:t>
      </w:r>
    </w:p>
    <w:p w14:paraId="72CF4B68" w14:textId="77777777" w:rsidR="0066752D" w:rsidRDefault="00B34E12" w:rsidP="004F5FAC">
      <w:pPr>
        <w:numPr>
          <w:ilvl w:val="1"/>
          <w:numId w:val="9"/>
        </w:numPr>
        <w:spacing w:after="120"/>
        <w:ind w:left="993" w:hanging="709"/>
        <w:rPr>
          <w:rFonts w:cs="Arial"/>
          <w:szCs w:val="20"/>
        </w:rPr>
      </w:pPr>
      <w:r w:rsidRPr="0066752D">
        <w:rPr>
          <w:szCs w:val="20"/>
        </w:rPr>
        <w:t>knowledge of frameworks of colonisation and national inclusion;</w:t>
      </w:r>
    </w:p>
    <w:p w14:paraId="49DDBF25" w14:textId="77777777" w:rsidR="0066752D" w:rsidRDefault="00B34E12" w:rsidP="004F5FAC">
      <w:pPr>
        <w:numPr>
          <w:ilvl w:val="1"/>
          <w:numId w:val="9"/>
        </w:numPr>
        <w:spacing w:after="120"/>
        <w:ind w:left="993" w:hanging="709"/>
        <w:rPr>
          <w:rFonts w:cs="Arial"/>
          <w:szCs w:val="20"/>
        </w:rPr>
      </w:pPr>
      <w:r w:rsidRPr="0066752D">
        <w:rPr>
          <w:szCs w:val="20"/>
        </w:rPr>
        <w:t>understanding the alienation that disconnection from land and waters can cause;</w:t>
      </w:r>
    </w:p>
    <w:p w14:paraId="3D8FAB68" w14:textId="77777777" w:rsidR="0066752D" w:rsidRDefault="00B34E12" w:rsidP="004F5FAC">
      <w:pPr>
        <w:numPr>
          <w:ilvl w:val="1"/>
          <w:numId w:val="9"/>
        </w:numPr>
        <w:spacing w:after="120"/>
        <w:ind w:left="993" w:hanging="709"/>
        <w:rPr>
          <w:rFonts w:cs="Arial"/>
          <w:szCs w:val="20"/>
        </w:rPr>
      </w:pPr>
      <w:r w:rsidRPr="0066752D">
        <w:rPr>
          <w:szCs w:val="20"/>
        </w:rPr>
        <w:t>managing issues associated with competing claims for land, water and other resources;</w:t>
      </w:r>
    </w:p>
    <w:p w14:paraId="203B1FE2" w14:textId="77777777" w:rsidR="0066752D" w:rsidRDefault="00B34E12" w:rsidP="004F5FAC">
      <w:pPr>
        <w:numPr>
          <w:ilvl w:val="1"/>
          <w:numId w:val="9"/>
        </w:numPr>
        <w:spacing w:after="120"/>
        <w:ind w:left="993" w:hanging="709"/>
        <w:rPr>
          <w:rFonts w:cs="Arial"/>
          <w:szCs w:val="20"/>
        </w:rPr>
      </w:pPr>
      <w:r w:rsidRPr="0066752D">
        <w:rPr>
          <w:szCs w:val="20"/>
        </w:rPr>
        <w:t>understanding the role of Indigenous institutions and representative organisations;</w:t>
      </w:r>
    </w:p>
    <w:p w14:paraId="75497A2A" w14:textId="77777777" w:rsidR="0066752D" w:rsidRDefault="00B34E12" w:rsidP="004F5FAC">
      <w:pPr>
        <w:numPr>
          <w:ilvl w:val="1"/>
          <w:numId w:val="9"/>
        </w:numPr>
        <w:spacing w:after="120"/>
        <w:ind w:left="993" w:hanging="709"/>
        <w:rPr>
          <w:rFonts w:cs="Arial"/>
          <w:szCs w:val="20"/>
        </w:rPr>
      </w:pPr>
      <w:r w:rsidRPr="0066752D">
        <w:rPr>
          <w:szCs w:val="20"/>
        </w:rPr>
        <w:t>understanding within Austral</w:t>
      </w:r>
      <w:r w:rsidR="005665D0" w:rsidRPr="0066752D">
        <w:rPr>
          <w:szCs w:val="20"/>
        </w:rPr>
        <w:t>asian</w:t>
      </w:r>
      <w:r w:rsidRPr="0066752D">
        <w:rPr>
          <w:szCs w:val="20"/>
        </w:rPr>
        <w:t xml:space="preserve"> context the history of minerals sector engagement with Indigenous peoples and how it has changed over time; and</w:t>
      </w:r>
    </w:p>
    <w:p w14:paraId="771721DB" w14:textId="0BE1A2F5" w:rsidR="002D5862" w:rsidRPr="003C79D1" w:rsidRDefault="00B34E12" w:rsidP="004F5FAC">
      <w:pPr>
        <w:numPr>
          <w:ilvl w:val="1"/>
          <w:numId w:val="9"/>
        </w:numPr>
        <w:spacing w:after="120"/>
        <w:ind w:left="993" w:hanging="709"/>
        <w:rPr>
          <w:rFonts w:cs="Arial"/>
          <w:szCs w:val="20"/>
        </w:rPr>
      </w:pPr>
      <w:r w:rsidRPr="0066752D">
        <w:rPr>
          <w:szCs w:val="20"/>
        </w:rPr>
        <w:t>knowledge of relevant national and international context, standards, guidance and laws, such as Free, Prior, Informed Consent (FPIC) and the UN Declaration on the Rights of Indigenous Peoples (UNDRIP).</w:t>
      </w:r>
    </w:p>
    <w:p w14:paraId="6A354347" w14:textId="77777777" w:rsidR="003C79D1" w:rsidRDefault="003C79D1" w:rsidP="003C79D1">
      <w:pPr>
        <w:spacing w:after="0"/>
        <w:ind w:left="284"/>
        <w:rPr>
          <w:rFonts w:cs="Arial"/>
          <w:szCs w:val="20"/>
        </w:rPr>
      </w:pPr>
    </w:p>
    <w:p w14:paraId="2D8EB9FA" w14:textId="77777777" w:rsidR="002D5862" w:rsidRPr="002D5862" w:rsidRDefault="00B34E12" w:rsidP="002D5862">
      <w:pPr>
        <w:numPr>
          <w:ilvl w:val="0"/>
          <w:numId w:val="9"/>
        </w:numPr>
        <w:spacing w:after="120"/>
        <w:rPr>
          <w:rFonts w:cs="Arial"/>
          <w:szCs w:val="20"/>
        </w:rPr>
      </w:pPr>
      <w:r w:rsidRPr="002D5862">
        <w:rPr>
          <w:i/>
          <w:u w:val="single"/>
        </w:rPr>
        <w:t xml:space="preserve">Prevention and management of social risk and conflict. </w:t>
      </w:r>
      <w:r w:rsidRPr="002D5862">
        <w:rPr>
          <w:bCs/>
          <w:szCs w:val="20"/>
        </w:rPr>
        <w:t xml:space="preserve">Identifying and managing social risks, impacts and conflict. </w:t>
      </w:r>
      <w:r w:rsidRPr="002D5862">
        <w:rPr>
          <w:szCs w:val="20"/>
        </w:rPr>
        <w:t>Competency indicators include</w:t>
      </w:r>
      <w:r w:rsidR="002D5862">
        <w:rPr>
          <w:szCs w:val="20"/>
        </w:rPr>
        <w:t>:</w:t>
      </w:r>
    </w:p>
    <w:p w14:paraId="3C3F851D" w14:textId="77777777" w:rsidR="002D5862" w:rsidRDefault="00B34E12" w:rsidP="004F5FAC">
      <w:pPr>
        <w:numPr>
          <w:ilvl w:val="1"/>
          <w:numId w:val="9"/>
        </w:numPr>
        <w:spacing w:after="120"/>
        <w:ind w:left="993" w:hanging="709"/>
        <w:rPr>
          <w:rFonts w:cs="Arial"/>
          <w:szCs w:val="20"/>
        </w:rPr>
      </w:pPr>
      <w:r w:rsidRPr="002D5862">
        <w:rPr>
          <w:iCs/>
          <w:szCs w:val="20"/>
        </w:rPr>
        <w:t>being able to analyse the nature and causes of social and related business risk;</w:t>
      </w:r>
    </w:p>
    <w:p w14:paraId="67F48309" w14:textId="77777777" w:rsidR="002D5862" w:rsidRDefault="00B34E12" w:rsidP="004F5FAC">
      <w:pPr>
        <w:numPr>
          <w:ilvl w:val="1"/>
          <w:numId w:val="9"/>
        </w:numPr>
        <w:spacing w:after="120"/>
        <w:ind w:left="993" w:hanging="709"/>
        <w:rPr>
          <w:rFonts w:cs="Arial"/>
          <w:szCs w:val="20"/>
        </w:rPr>
      </w:pPr>
      <w:r w:rsidRPr="002D5862">
        <w:rPr>
          <w:szCs w:val="20"/>
        </w:rPr>
        <w:t>identifying conflicting interests and prohibitions between/within different community groups;</w:t>
      </w:r>
    </w:p>
    <w:p w14:paraId="4B560C0F" w14:textId="77777777" w:rsidR="002D5862" w:rsidRDefault="00B34E12" w:rsidP="004F5FAC">
      <w:pPr>
        <w:numPr>
          <w:ilvl w:val="1"/>
          <w:numId w:val="9"/>
        </w:numPr>
        <w:spacing w:after="120"/>
        <w:ind w:left="993" w:hanging="709"/>
        <w:rPr>
          <w:rFonts w:cs="Arial"/>
          <w:szCs w:val="20"/>
        </w:rPr>
      </w:pPr>
      <w:r w:rsidRPr="002D5862">
        <w:rPr>
          <w:bCs/>
          <w:szCs w:val="20"/>
        </w:rPr>
        <w:t>designing systems and action aimed at prevention, management, remediation, resolution and recompense;</w:t>
      </w:r>
    </w:p>
    <w:p w14:paraId="41B5A4EF" w14:textId="77777777" w:rsidR="002D5862" w:rsidRDefault="00B34E12" w:rsidP="004F5FAC">
      <w:pPr>
        <w:numPr>
          <w:ilvl w:val="1"/>
          <w:numId w:val="9"/>
        </w:numPr>
        <w:spacing w:after="120"/>
        <w:ind w:left="993" w:hanging="709"/>
        <w:rPr>
          <w:rFonts w:cs="Arial"/>
          <w:szCs w:val="20"/>
        </w:rPr>
      </w:pPr>
      <w:r w:rsidRPr="002D5862">
        <w:rPr>
          <w:szCs w:val="20"/>
        </w:rPr>
        <w:t>designing and managing community concerns, complaints and grievance procedures;</w:t>
      </w:r>
    </w:p>
    <w:p w14:paraId="4FE6F215" w14:textId="77777777" w:rsidR="002D5862" w:rsidRDefault="00B34E12" w:rsidP="004F5FAC">
      <w:pPr>
        <w:numPr>
          <w:ilvl w:val="1"/>
          <w:numId w:val="9"/>
        </w:numPr>
        <w:spacing w:after="120"/>
        <w:ind w:left="993" w:hanging="709"/>
        <w:rPr>
          <w:rFonts w:cs="Arial"/>
          <w:szCs w:val="20"/>
        </w:rPr>
      </w:pPr>
      <w:r w:rsidRPr="002D5862">
        <w:rPr>
          <w:szCs w:val="20"/>
        </w:rPr>
        <w:t>participating in social incident investigation and mitigation;</w:t>
      </w:r>
    </w:p>
    <w:p w14:paraId="068F561B" w14:textId="77777777" w:rsidR="002D5862" w:rsidRDefault="00B34E12" w:rsidP="004F5FAC">
      <w:pPr>
        <w:numPr>
          <w:ilvl w:val="1"/>
          <w:numId w:val="9"/>
        </w:numPr>
        <w:spacing w:after="120"/>
        <w:ind w:left="993" w:hanging="709"/>
        <w:rPr>
          <w:rFonts w:cs="Arial"/>
          <w:szCs w:val="20"/>
        </w:rPr>
      </w:pPr>
      <w:r w:rsidRPr="002D5862">
        <w:rPr>
          <w:szCs w:val="20"/>
        </w:rPr>
        <w:t xml:space="preserve">conversant in active listening, restorative justice, mediation, dialogue and consensus building; </w:t>
      </w:r>
    </w:p>
    <w:p w14:paraId="425DC052" w14:textId="77777777" w:rsidR="002D5862" w:rsidRDefault="00B34E12" w:rsidP="004F5FAC">
      <w:pPr>
        <w:numPr>
          <w:ilvl w:val="1"/>
          <w:numId w:val="9"/>
        </w:numPr>
        <w:spacing w:after="120"/>
        <w:ind w:left="993" w:hanging="709"/>
        <w:rPr>
          <w:rFonts w:cs="Arial"/>
          <w:szCs w:val="20"/>
        </w:rPr>
      </w:pPr>
      <w:r w:rsidRPr="002D5862">
        <w:rPr>
          <w:szCs w:val="20"/>
        </w:rPr>
        <w:t>understanding particular issues associated with artisanal mining and how to manage them; and</w:t>
      </w:r>
    </w:p>
    <w:p w14:paraId="0239303B" w14:textId="714EC5E7" w:rsidR="003C79D1" w:rsidRPr="003C79D1" w:rsidRDefault="00B34E12" w:rsidP="004F5FAC">
      <w:pPr>
        <w:numPr>
          <w:ilvl w:val="1"/>
          <w:numId w:val="9"/>
        </w:numPr>
        <w:spacing w:after="120"/>
        <w:ind w:left="993" w:hanging="709"/>
        <w:rPr>
          <w:rFonts w:cs="Arial"/>
          <w:szCs w:val="20"/>
        </w:rPr>
      </w:pPr>
      <w:r>
        <w:t>knowing the importance of civil interface in emergency</w:t>
      </w:r>
      <w:r w:rsidRPr="002D5862">
        <w:rPr>
          <w:spacing w:val="-5"/>
        </w:rPr>
        <w:t xml:space="preserve"> response </w:t>
      </w:r>
      <w:r>
        <w:t>procedures and situations.</w:t>
      </w:r>
    </w:p>
    <w:p w14:paraId="760B2E38" w14:textId="77777777" w:rsidR="003C79D1" w:rsidRDefault="003C79D1" w:rsidP="003C79D1">
      <w:pPr>
        <w:spacing w:after="0"/>
        <w:ind w:left="357"/>
        <w:rPr>
          <w:rFonts w:cs="Arial"/>
          <w:szCs w:val="20"/>
        </w:rPr>
      </w:pPr>
    </w:p>
    <w:p w14:paraId="52B8952D" w14:textId="77777777" w:rsidR="003C79D1" w:rsidRDefault="00B34E12" w:rsidP="003C79D1">
      <w:pPr>
        <w:numPr>
          <w:ilvl w:val="0"/>
          <w:numId w:val="9"/>
        </w:numPr>
        <w:spacing w:after="120"/>
        <w:rPr>
          <w:rFonts w:cs="Arial"/>
          <w:szCs w:val="20"/>
        </w:rPr>
      </w:pPr>
      <w:r w:rsidRPr="003C79D1">
        <w:rPr>
          <w:i/>
          <w:u w:val="single"/>
        </w:rPr>
        <w:t>Cultural heritage management</w:t>
      </w:r>
      <w:r w:rsidRPr="003C79D1">
        <w:rPr>
          <w:i/>
        </w:rPr>
        <w:t xml:space="preserve">. </w:t>
      </w:r>
      <w:r w:rsidRPr="003C79D1">
        <w:rPr>
          <w:szCs w:val="20"/>
        </w:rPr>
        <w:t>Identifying and managing the protection of cultural heritage values, rights and interests. Competency indicators include:</w:t>
      </w:r>
    </w:p>
    <w:p w14:paraId="31C33345" w14:textId="77777777" w:rsidR="003C79D1" w:rsidRDefault="00B34E12" w:rsidP="004F5FAC">
      <w:pPr>
        <w:numPr>
          <w:ilvl w:val="1"/>
          <w:numId w:val="9"/>
        </w:numPr>
        <w:spacing w:after="120"/>
        <w:ind w:left="993" w:hanging="709"/>
        <w:rPr>
          <w:rFonts w:cs="Arial"/>
          <w:szCs w:val="20"/>
        </w:rPr>
      </w:pPr>
      <w:r w:rsidRPr="003C79D1">
        <w:rPr>
          <w:szCs w:val="20"/>
        </w:rPr>
        <w:t xml:space="preserve">recognising the diverse forms of tangible and intangible cultural heritage values and their interaction; </w:t>
      </w:r>
    </w:p>
    <w:p w14:paraId="5017E018" w14:textId="77777777" w:rsidR="003C79D1" w:rsidRDefault="00B34E12" w:rsidP="004F5FAC">
      <w:pPr>
        <w:numPr>
          <w:ilvl w:val="1"/>
          <w:numId w:val="9"/>
        </w:numPr>
        <w:spacing w:after="120"/>
        <w:ind w:left="993" w:hanging="709"/>
        <w:rPr>
          <w:rFonts w:cs="Arial"/>
          <w:szCs w:val="20"/>
        </w:rPr>
      </w:pPr>
      <w:r w:rsidRPr="003C79D1">
        <w:rPr>
          <w:szCs w:val="20"/>
        </w:rPr>
        <w:t>understanding the roles and relationship of archaeology and anthropology in assessing different heritage values, potential impacts upon them and associated business risks;</w:t>
      </w:r>
    </w:p>
    <w:p w14:paraId="00CEEA4C" w14:textId="77777777" w:rsidR="003C79D1" w:rsidRDefault="00B34E12" w:rsidP="004F5FAC">
      <w:pPr>
        <w:numPr>
          <w:ilvl w:val="1"/>
          <w:numId w:val="9"/>
        </w:numPr>
        <w:spacing w:after="120"/>
        <w:ind w:left="993" w:hanging="709"/>
        <w:rPr>
          <w:rFonts w:cs="Arial"/>
          <w:szCs w:val="20"/>
        </w:rPr>
      </w:pPr>
      <w:r w:rsidRPr="003C79D1">
        <w:rPr>
          <w:szCs w:val="20"/>
        </w:rPr>
        <w:t>designing and implementing of cultural heritage management systems;</w:t>
      </w:r>
    </w:p>
    <w:p w14:paraId="1BB84F0F" w14:textId="77777777" w:rsidR="003C79D1" w:rsidRDefault="00B34E12" w:rsidP="004F5FAC">
      <w:pPr>
        <w:numPr>
          <w:ilvl w:val="1"/>
          <w:numId w:val="9"/>
        </w:numPr>
        <w:spacing w:after="120"/>
        <w:ind w:left="993" w:hanging="709"/>
        <w:rPr>
          <w:rFonts w:cs="Arial"/>
          <w:szCs w:val="20"/>
        </w:rPr>
      </w:pPr>
      <w:r w:rsidRPr="003C79D1">
        <w:rPr>
          <w:szCs w:val="20"/>
        </w:rPr>
        <w:t>developing cultural heritage protection approaches with the involvement of communities and stakeholders;</w:t>
      </w:r>
    </w:p>
    <w:p w14:paraId="09D6A417" w14:textId="77777777" w:rsidR="003C79D1" w:rsidRDefault="00B34E12" w:rsidP="004F5FAC">
      <w:pPr>
        <w:numPr>
          <w:ilvl w:val="1"/>
          <w:numId w:val="9"/>
        </w:numPr>
        <w:spacing w:after="120"/>
        <w:ind w:left="993" w:hanging="709"/>
        <w:rPr>
          <w:rFonts w:cs="Arial"/>
          <w:szCs w:val="20"/>
        </w:rPr>
      </w:pPr>
      <w:r w:rsidRPr="003C79D1">
        <w:rPr>
          <w:szCs w:val="20"/>
        </w:rPr>
        <w:t>designing mitigation procedures that avoid and minimise potential cultural heritage impacts (e.g. work clearance and chance finds procedures);</w:t>
      </w:r>
    </w:p>
    <w:p w14:paraId="55844330" w14:textId="77777777" w:rsidR="003C79D1" w:rsidRDefault="00B34E12" w:rsidP="004F5FAC">
      <w:pPr>
        <w:numPr>
          <w:ilvl w:val="1"/>
          <w:numId w:val="9"/>
        </w:numPr>
        <w:spacing w:after="120"/>
        <w:ind w:left="993" w:hanging="709"/>
        <w:rPr>
          <w:rFonts w:cs="Arial"/>
          <w:szCs w:val="20"/>
        </w:rPr>
      </w:pPr>
      <w:r w:rsidRPr="003C79D1">
        <w:rPr>
          <w:szCs w:val="20"/>
        </w:rPr>
        <w:t>integrating cultural heritage considerations, risks, protection procedures and penalties into operational practice;</w:t>
      </w:r>
    </w:p>
    <w:p w14:paraId="46B6E3D2" w14:textId="77777777" w:rsidR="003C79D1" w:rsidRDefault="00B34E12" w:rsidP="004F5FAC">
      <w:pPr>
        <w:numPr>
          <w:ilvl w:val="1"/>
          <w:numId w:val="9"/>
        </w:numPr>
        <w:spacing w:after="120"/>
        <w:ind w:left="993" w:hanging="709"/>
        <w:rPr>
          <w:rFonts w:cs="Arial"/>
          <w:szCs w:val="20"/>
        </w:rPr>
      </w:pPr>
      <w:r w:rsidRPr="003C79D1">
        <w:rPr>
          <w:szCs w:val="20"/>
        </w:rPr>
        <w:t>designing approaches and programs aimed at cultural heritage enhancement; and</w:t>
      </w:r>
    </w:p>
    <w:p w14:paraId="5E6F2D34" w14:textId="4372D418" w:rsidR="004870A8" w:rsidRPr="004870A8" w:rsidRDefault="00B34E12" w:rsidP="004F5FAC">
      <w:pPr>
        <w:numPr>
          <w:ilvl w:val="1"/>
          <w:numId w:val="9"/>
        </w:numPr>
        <w:spacing w:after="120"/>
        <w:ind w:left="993" w:hanging="709"/>
        <w:rPr>
          <w:rFonts w:cs="Arial"/>
          <w:szCs w:val="20"/>
        </w:rPr>
      </w:pPr>
      <w:r w:rsidRPr="003C79D1">
        <w:rPr>
          <w:szCs w:val="20"/>
        </w:rPr>
        <w:t>working with cultural heritage custodians to identify the limits of acceptable cultural change.</w:t>
      </w:r>
    </w:p>
    <w:p w14:paraId="273F8206" w14:textId="77777777" w:rsidR="004870A8" w:rsidRDefault="004870A8" w:rsidP="004870A8">
      <w:pPr>
        <w:spacing w:after="0"/>
        <w:ind w:left="357"/>
        <w:rPr>
          <w:rFonts w:cs="Arial"/>
          <w:szCs w:val="20"/>
        </w:rPr>
      </w:pPr>
    </w:p>
    <w:p w14:paraId="326C84E4" w14:textId="77777777" w:rsidR="004870A8" w:rsidRDefault="00B34E12" w:rsidP="004870A8">
      <w:pPr>
        <w:numPr>
          <w:ilvl w:val="0"/>
          <w:numId w:val="9"/>
        </w:numPr>
        <w:spacing w:after="120"/>
        <w:rPr>
          <w:rFonts w:cs="Arial"/>
          <w:szCs w:val="20"/>
        </w:rPr>
      </w:pPr>
      <w:r w:rsidRPr="004870A8">
        <w:rPr>
          <w:i/>
          <w:iCs/>
          <w:szCs w:val="20"/>
          <w:u w:val="single"/>
        </w:rPr>
        <w:t>Local level agreements (LLA).</w:t>
      </w:r>
      <w:r w:rsidRPr="004870A8">
        <w:rPr>
          <w:i/>
          <w:iCs/>
          <w:szCs w:val="20"/>
        </w:rPr>
        <w:t xml:space="preserve"> </w:t>
      </w:r>
      <w:r w:rsidRPr="004870A8">
        <w:rPr>
          <w:szCs w:val="20"/>
        </w:rPr>
        <w:t>Managing the negotiation and implementation of LLA in various business, land use, recreational, cultural and jurisdictional contexts, recognising that they apply across an entire enterprise with senior management accountability. Competency indicators include being able to:</w:t>
      </w:r>
    </w:p>
    <w:p w14:paraId="11F79B82" w14:textId="77777777" w:rsidR="004870A8" w:rsidRDefault="00B34E12" w:rsidP="004F5FAC">
      <w:pPr>
        <w:numPr>
          <w:ilvl w:val="1"/>
          <w:numId w:val="9"/>
        </w:numPr>
        <w:spacing w:after="120"/>
        <w:ind w:left="993" w:hanging="709"/>
        <w:rPr>
          <w:rFonts w:cs="Arial"/>
          <w:szCs w:val="20"/>
        </w:rPr>
      </w:pPr>
      <w:r w:rsidRPr="004870A8">
        <w:rPr>
          <w:szCs w:val="20"/>
        </w:rPr>
        <w:t>identify formal and informal land, water and other natural resource tenure;</w:t>
      </w:r>
    </w:p>
    <w:p w14:paraId="27BFFED6" w14:textId="77777777" w:rsidR="004870A8" w:rsidRDefault="00B34E12" w:rsidP="004F5FAC">
      <w:pPr>
        <w:numPr>
          <w:ilvl w:val="1"/>
          <w:numId w:val="9"/>
        </w:numPr>
        <w:spacing w:after="120"/>
        <w:ind w:left="993" w:hanging="709"/>
        <w:rPr>
          <w:rFonts w:cs="Arial"/>
          <w:szCs w:val="20"/>
        </w:rPr>
      </w:pPr>
      <w:r w:rsidRPr="004870A8">
        <w:rPr>
          <w:szCs w:val="20"/>
        </w:rPr>
        <w:t>work with relevant groups to negotiate agreement, in the form of formal contracts which impact the whole of the business, on access to these resources;</w:t>
      </w:r>
    </w:p>
    <w:p w14:paraId="054388CC" w14:textId="77777777" w:rsidR="004870A8" w:rsidRPr="004870A8" w:rsidRDefault="00B34E12" w:rsidP="004F5FAC">
      <w:pPr>
        <w:numPr>
          <w:ilvl w:val="1"/>
          <w:numId w:val="9"/>
        </w:numPr>
        <w:spacing w:after="120"/>
        <w:ind w:left="993" w:hanging="709"/>
        <w:rPr>
          <w:rFonts w:cs="Arial"/>
          <w:szCs w:val="20"/>
        </w:rPr>
      </w:pPr>
      <w:r w:rsidRPr="004870A8">
        <w:rPr>
          <w:szCs w:val="20"/>
        </w:rPr>
        <w:lastRenderedPageBreak/>
        <w:t xml:space="preserve">design ‘fit for purpose’ LLA, ranging from simple </w:t>
      </w:r>
      <w:r w:rsidR="00A92F34" w:rsidRPr="004870A8">
        <w:rPr>
          <w:szCs w:val="20"/>
        </w:rPr>
        <w:t>memoranda of understanding</w:t>
      </w:r>
      <w:r w:rsidRPr="004870A8">
        <w:rPr>
          <w:szCs w:val="20"/>
        </w:rPr>
        <w:t xml:space="preserve"> to comprehensive legal agreements</w:t>
      </w:r>
    </w:p>
    <w:p w14:paraId="30436067" w14:textId="77777777" w:rsidR="004870A8" w:rsidRDefault="00B34E12" w:rsidP="004F5FAC">
      <w:pPr>
        <w:numPr>
          <w:ilvl w:val="1"/>
          <w:numId w:val="9"/>
        </w:numPr>
        <w:spacing w:after="120"/>
        <w:ind w:left="993" w:hanging="709"/>
        <w:rPr>
          <w:rFonts w:cs="Arial"/>
          <w:szCs w:val="20"/>
        </w:rPr>
      </w:pPr>
      <w:r w:rsidRPr="004870A8">
        <w:rPr>
          <w:szCs w:val="20"/>
        </w:rPr>
        <w:t>understand and achieve agreement on the difference between compensation and benefits;</w:t>
      </w:r>
    </w:p>
    <w:p w14:paraId="20640DD3" w14:textId="77777777" w:rsidR="004870A8" w:rsidRDefault="00B34E12" w:rsidP="004F5FAC">
      <w:pPr>
        <w:numPr>
          <w:ilvl w:val="1"/>
          <w:numId w:val="9"/>
        </w:numPr>
        <w:spacing w:after="120"/>
        <w:ind w:left="993" w:hanging="709"/>
        <w:rPr>
          <w:rFonts w:cs="Arial"/>
          <w:szCs w:val="20"/>
        </w:rPr>
      </w:pPr>
      <w:r w:rsidRPr="004870A8">
        <w:rPr>
          <w:szCs w:val="20"/>
        </w:rPr>
        <w:t>build environmental rehabilitation and post-closure options in LLA</w:t>
      </w:r>
      <w:r w:rsidRPr="004870A8">
        <w:rPr>
          <w:szCs w:val="20"/>
          <w:u w:val="single"/>
        </w:rPr>
        <w:t>;</w:t>
      </w:r>
    </w:p>
    <w:p w14:paraId="7D1C4D3F" w14:textId="77777777" w:rsidR="004870A8" w:rsidRDefault="00B34E12" w:rsidP="004F5FAC">
      <w:pPr>
        <w:numPr>
          <w:ilvl w:val="1"/>
          <w:numId w:val="9"/>
        </w:numPr>
        <w:spacing w:after="120"/>
        <w:ind w:left="993" w:hanging="709"/>
        <w:rPr>
          <w:rFonts w:cs="Arial"/>
          <w:szCs w:val="20"/>
        </w:rPr>
      </w:pPr>
      <w:r w:rsidRPr="004870A8">
        <w:rPr>
          <w:szCs w:val="20"/>
        </w:rPr>
        <w:t>achieve mutual accountability frameworks for management of social impacts and commitments;</w:t>
      </w:r>
    </w:p>
    <w:p w14:paraId="35B031CA" w14:textId="77777777" w:rsidR="004870A8" w:rsidRDefault="00B34E12" w:rsidP="004F5FAC">
      <w:pPr>
        <w:numPr>
          <w:ilvl w:val="1"/>
          <w:numId w:val="9"/>
        </w:numPr>
        <w:spacing w:after="120"/>
        <w:ind w:left="993" w:hanging="709"/>
        <w:rPr>
          <w:rFonts w:cs="Arial"/>
          <w:szCs w:val="20"/>
        </w:rPr>
      </w:pPr>
      <w:r w:rsidRPr="004870A8">
        <w:rPr>
          <w:szCs w:val="20"/>
        </w:rPr>
        <w:t>design and achieve institutional arrangements and governance structures for durable LLA; and</w:t>
      </w:r>
    </w:p>
    <w:p w14:paraId="04D95649" w14:textId="67C7C046" w:rsidR="00A862DB" w:rsidRPr="00A862DB" w:rsidRDefault="00B34E12" w:rsidP="004F5FAC">
      <w:pPr>
        <w:numPr>
          <w:ilvl w:val="1"/>
          <w:numId w:val="9"/>
        </w:numPr>
        <w:spacing w:after="120"/>
        <w:ind w:left="993" w:hanging="709"/>
        <w:rPr>
          <w:rFonts w:cs="Arial"/>
          <w:szCs w:val="20"/>
        </w:rPr>
      </w:pPr>
      <w:r w:rsidRPr="004870A8">
        <w:rPr>
          <w:szCs w:val="20"/>
        </w:rPr>
        <w:t>set up monitoring and evaluation of LLA and contained commitments.</w:t>
      </w:r>
    </w:p>
    <w:p w14:paraId="752825A7" w14:textId="77777777" w:rsidR="00A862DB" w:rsidRDefault="00A862DB" w:rsidP="00A862DB">
      <w:pPr>
        <w:spacing w:after="0"/>
        <w:ind w:left="357"/>
        <w:rPr>
          <w:rFonts w:cs="Arial"/>
          <w:szCs w:val="20"/>
        </w:rPr>
      </w:pPr>
    </w:p>
    <w:p w14:paraId="7256D3CE" w14:textId="77777777" w:rsidR="00A862DB" w:rsidRDefault="00B34E12" w:rsidP="00A862DB">
      <w:pPr>
        <w:numPr>
          <w:ilvl w:val="0"/>
          <w:numId w:val="9"/>
        </w:numPr>
        <w:spacing w:after="120"/>
        <w:rPr>
          <w:rFonts w:cs="Arial"/>
          <w:szCs w:val="20"/>
        </w:rPr>
      </w:pPr>
      <w:r w:rsidRPr="00A862DB">
        <w:rPr>
          <w:i/>
          <w:u w:val="single"/>
        </w:rPr>
        <w:t xml:space="preserve">Resettlement and population movement. </w:t>
      </w:r>
      <w:r w:rsidRPr="00A862DB">
        <w:rPr>
          <w:szCs w:val="20"/>
        </w:rPr>
        <w:t>Identifying and managing the risks associated with population movements arising from natural resource exploration, development and closure. Competency indicators include:</w:t>
      </w:r>
    </w:p>
    <w:p w14:paraId="6A5695F1" w14:textId="77777777" w:rsidR="00A862DB" w:rsidRDefault="00B34E12" w:rsidP="004F5FAC">
      <w:pPr>
        <w:numPr>
          <w:ilvl w:val="1"/>
          <w:numId w:val="9"/>
        </w:numPr>
        <w:spacing w:after="120"/>
        <w:ind w:left="993" w:hanging="709"/>
        <w:rPr>
          <w:rFonts w:cs="Arial"/>
          <w:szCs w:val="20"/>
        </w:rPr>
      </w:pPr>
      <w:r w:rsidRPr="00A862DB">
        <w:rPr>
          <w:szCs w:val="20"/>
        </w:rPr>
        <w:t>understanding in-migration, resettlement and/or the economic displacement of people and their livelihoods;</w:t>
      </w:r>
    </w:p>
    <w:p w14:paraId="02B754C6" w14:textId="77777777" w:rsidR="00A862DB" w:rsidRDefault="00B34E12" w:rsidP="004F5FAC">
      <w:pPr>
        <w:numPr>
          <w:ilvl w:val="1"/>
          <w:numId w:val="9"/>
        </w:numPr>
        <w:spacing w:after="120"/>
        <w:ind w:left="993" w:hanging="709"/>
        <w:rPr>
          <w:rFonts w:cs="Arial"/>
          <w:szCs w:val="20"/>
        </w:rPr>
      </w:pPr>
      <w:r w:rsidRPr="00A862DB">
        <w:rPr>
          <w:szCs w:val="20"/>
        </w:rPr>
        <w:t>being able to identify existing, emerging and latent socio-economic drivers of migration;</w:t>
      </w:r>
    </w:p>
    <w:p w14:paraId="5356754F" w14:textId="77777777" w:rsidR="00A862DB" w:rsidRDefault="00B34E12" w:rsidP="004F5FAC">
      <w:pPr>
        <w:numPr>
          <w:ilvl w:val="1"/>
          <w:numId w:val="9"/>
        </w:numPr>
        <w:spacing w:after="120"/>
        <w:ind w:left="993" w:hanging="709"/>
        <w:rPr>
          <w:rFonts w:cs="Arial"/>
          <w:szCs w:val="20"/>
        </w:rPr>
      </w:pPr>
      <w:r w:rsidRPr="00A862DB">
        <w:rPr>
          <w:szCs w:val="20"/>
        </w:rPr>
        <w:t>knowledge of resettlement, economic displacement and in-migration mitigation approaches;</w:t>
      </w:r>
    </w:p>
    <w:p w14:paraId="3AAD9144" w14:textId="77777777" w:rsidR="00A862DB" w:rsidRDefault="00B34E12" w:rsidP="004F5FAC">
      <w:pPr>
        <w:numPr>
          <w:ilvl w:val="1"/>
          <w:numId w:val="9"/>
        </w:numPr>
        <w:spacing w:after="120"/>
        <w:ind w:left="993" w:hanging="709"/>
        <w:rPr>
          <w:rFonts w:cs="Arial"/>
          <w:szCs w:val="20"/>
        </w:rPr>
      </w:pPr>
      <w:r w:rsidRPr="00A862DB">
        <w:rPr>
          <w:szCs w:val="20"/>
        </w:rPr>
        <w:t>the ability to align restorative mitigation with resource and asset development schedules;</w:t>
      </w:r>
    </w:p>
    <w:p w14:paraId="25E8EAB4" w14:textId="77777777" w:rsidR="00A862DB" w:rsidRDefault="00B34E12" w:rsidP="004F5FAC">
      <w:pPr>
        <w:numPr>
          <w:ilvl w:val="1"/>
          <w:numId w:val="9"/>
        </w:numPr>
        <w:spacing w:after="120"/>
        <w:ind w:left="993" w:hanging="709"/>
        <w:rPr>
          <w:rFonts w:cs="Arial"/>
          <w:szCs w:val="20"/>
        </w:rPr>
      </w:pPr>
      <w:r w:rsidRPr="00A862DB">
        <w:rPr>
          <w:szCs w:val="20"/>
        </w:rPr>
        <w:t>understanding gender, age, ethnic and other social identity considerations;</w:t>
      </w:r>
    </w:p>
    <w:p w14:paraId="24ABA438" w14:textId="77777777" w:rsidR="00A862DB" w:rsidRDefault="00B34E12" w:rsidP="004F5FAC">
      <w:pPr>
        <w:numPr>
          <w:ilvl w:val="1"/>
          <w:numId w:val="9"/>
        </w:numPr>
        <w:spacing w:after="120"/>
        <w:ind w:left="993" w:hanging="709"/>
        <w:rPr>
          <w:rFonts w:cs="Arial"/>
          <w:szCs w:val="20"/>
        </w:rPr>
      </w:pPr>
      <w:r w:rsidRPr="00A862DB">
        <w:rPr>
          <w:rFonts w:ascii="Helvetica" w:hAnsi="Helvetica"/>
          <w:szCs w:val="20"/>
        </w:rPr>
        <w:t>preparing resettlement and economic displacement action plans (RAP); and</w:t>
      </w:r>
    </w:p>
    <w:p w14:paraId="1FBD67D3" w14:textId="5403E2EF" w:rsidR="00993DE5" w:rsidRPr="00993DE5" w:rsidRDefault="00B34E12" w:rsidP="004F5FAC">
      <w:pPr>
        <w:numPr>
          <w:ilvl w:val="1"/>
          <w:numId w:val="9"/>
        </w:numPr>
        <w:spacing w:after="120"/>
        <w:ind w:left="993" w:hanging="709"/>
        <w:rPr>
          <w:rFonts w:cs="Arial"/>
          <w:szCs w:val="20"/>
        </w:rPr>
      </w:pPr>
      <w:r w:rsidRPr="00A862DB">
        <w:rPr>
          <w:rFonts w:ascii="Helvetica" w:hAnsi="Helvetica"/>
          <w:szCs w:val="20"/>
        </w:rPr>
        <w:t>designing RAP monitoring, evaluation and close-out criteria.</w:t>
      </w:r>
    </w:p>
    <w:p w14:paraId="3425E03D" w14:textId="77777777" w:rsidR="00993DE5" w:rsidRDefault="00993DE5" w:rsidP="00993DE5">
      <w:pPr>
        <w:spacing w:after="0"/>
        <w:ind w:left="357"/>
        <w:rPr>
          <w:rFonts w:cs="Arial"/>
          <w:szCs w:val="20"/>
        </w:rPr>
      </w:pPr>
    </w:p>
    <w:p w14:paraId="64613330" w14:textId="77777777" w:rsidR="00993DE5" w:rsidRDefault="00B34E12" w:rsidP="00993DE5">
      <w:pPr>
        <w:numPr>
          <w:ilvl w:val="0"/>
          <w:numId w:val="9"/>
        </w:numPr>
        <w:spacing w:after="120"/>
        <w:rPr>
          <w:rFonts w:cs="Arial"/>
          <w:szCs w:val="20"/>
        </w:rPr>
      </w:pPr>
      <w:r w:rsidRPr="00993DE5">
        <w:rPr>
          <w:i/>
          <w:u w:val="single"/>
        </w:rPr>
        <w:t xml:space="preserve">Local and regional development. </w:t>
      </w:r>
      <w:r w:rsidRPr="00993DE5">
        <w:rPr>
          <w:szCs w:val="20"/>
        </w:rPr>
        <w:t>Understanding the negative impacts and positive influence that natural resource development can have in a region and advise how to leverage this for business and affected community benefit. Competency indicators include understanding:</w:t>
      </w:r>
    </w:p>
    <w:p w14:paraId="6B2F9D73" w14:textId="77777777" w:rsidR="00993DE5" w:rsidRDefault="00B34E12" w:rsidP="004F5FAC">
      <w:pPr>
        <w:numPr>
          <w:ilvl w:val="1"/>
          <w:numId w:val="9"/>
        </w:numPr>
        <w:spacing w:after="120"/>
        <w:ind w:left="993" w:hanging="709"/>
        <w:rPr>
          <w:rFonts w:cs="Arial"/>
          <w:szCs w:val="20"/>
        </w:rPr>
      </w:pPr>
      <w:r w:rsidRPr="00993DE5">
        <w:rPr>
          <w:szCs w:val="20"/>
        </w:rPr>
        <w:t xml:space="preserve">the fundamentals of local and regional economic development; </w:t>
      </w:r>
    </w:p>
    <w:p w14:paraId="2CA03EC9" w14:textId="77777777" w:rsidR="00993DE5" w:rsidRDefault="00B34E12" w:rsidP="004F5FAC">
      <w:pPr>
        <w:numPr>
          <w:ilvl w:val="1"/>
          <w:numId w:val="9"/>
        </w:numPr>
        <w:spacing w:after="120"/>
        <w:ind w:left="993" w:hanging="709"/>
        <w:rPr>
          <w:rFonts w:cs="Arial"/>
          <w:szCs w:val="20"/>
        </w:rPr>
      </w:pPr>
      <w:r w:rsidRPr="00993DE5">
        <w:rPr>
          <w:szCs w:val="20"/>
        </w:rPr>
        <w:t>economic studies, such as Economic Value Added (EVA) and Input-Output analysis;</w:t>
      </w:r>
    </w:p>
    <w:p w14:paraId="2439D3EA" w14:textId="77777777" w:rsidR="00993DE5" w:rsidRDefault="00B34E12" w:rsidP="004F5FAC">
      <w:pPr>
        <w:numPr>
          <w:ilvl w:val="1"/>
          <w:numId w:val="9"/>
        </w:numPr>
        <w:spacing w:after="120"/>
        <w:ind w:left="993" w:hanging="709"/>
        <w:rPr>
          <w:rFonts w:cs="Arial"/>
          <w:szCs w:val="20"/>
        </w:rPr>
      </w:pPr>
      <w:r w:rsidRPr="00993DE5">
        <w:rPr>
          <w:szCs w:val="20"/>
        </w:rPr>
        <w:t xml:space="preserve">understanding the respective roles of communities, business, government, NGO’s and philanthropy; </w:t>
      </w:r>
    </w:p>
    <w:p w14:paraId="6F596851" w14:textId="77777777" w:rsidR="00993DE5" w:rsidRDefault="00B34E12" w:rsidP="004F5FAC">
      <w:pPr>
        <w:numPr>
          <w:ilvl w:val="1"/>
          <w:numId w:val="9"/>
        </w:numPr>
        <w:spacing w:after="120"/>
        <w:ind w:left="993" w:hanging="709"/>
        <w:rPr>
          <w:rFonts w:cs="Arial"/>
          <w:szCs w:val="20"/>
        </w:rPr>
      </w:pPr>
      <w:r w:rsidRPr="00993DE5">
        <w:rPr>
          <w:szCs w:val="20"/>
        </w:rPr>
        <w:t>mutual benefit of shared infrastructure (e.g. roads, airports and emergency services), and</w:t>
      </w:r>
    </w:p>
    <w:p w14:paraId="6073C8D7" w14:textId="026EC610" w:rsidR="002F6124" w:rsidRPr="002F6124" w:rsidRDefault="00B34E12" w:rsidP="004F5FAC">
      <w:pPr>
        <w:numPr>
          <w:ilvl w:val="1"/>
          <w:numId w:val="9"/>
        </w:numPr>
        <w:spacing w:after="120"/>
        <w:ind w:left="993" w:hanging="709"/>
        <w:rPr>
          <w:rFonts w:cs="Arial"/>
          <w:szCs w:val="20"/>
        </w:rPr>
      </w:pPr>
      <w:r w:rsidRPr="00993DE5">
        <w:rPr>
          <w:szCs w:val="20"/>
        </w:rPr>
        <w:t>applying participatory and partnership approaches that necessarily involve governments, community groups and specialist agencies having different resources and skills, mutual commitments, accountability and reciprocity.</w:t>
      </w:r>
    </w:p>
    <w:p w14:paraId="6EB116CC" w14:textId="77777777" w:rsidR="002F6124" w:rsidRDefault="002F6124" w:rsidP="002F6124">
      <w:pPr>
        <w:spacing w:after="0"/>
        <w:ind w:left="357"/>
        <w:rPr>
          <w:rFonts w:cs="Arial"/>
          <w:szCs w:val="20"/>
        </w:rPr>
      </w:pPr>
    </w:p>
    <w:p w14:paraId="68F8C656" w14:textId="77777777" w:rsidR="002F6124" w:rsidRDefault="00B34E12" w:rsidP="002F6124">
      <w:pPr>
        <w:numPr>
          <w:ilvl w:val="0"/>
          <w:numId w:val="9"/>
        </w:numPr>
        <w:spacing w:after="120"/>
        <w:rPr>
          <w:rFonts w:cs="Arial"/>
          <w:szCs w:val="20"/>
        </w:rPr>
      </w:pPr>
      <w:r w:rsidRPr="002F6124">
        <w:rPr>
          <w:i/>
          <w:u w:val="single"/>
        </w:rPr>
        <w:lastRenderedPageBreak/>
        <w:t xml:space="preserve">Management, monitoring and evaluation of social projects. </w:t>
      </w:r>
      <w:r w:rsidRPr="002F6124">
        <w:rPr>
          <w:szCs w:val="20"/>
        </w:rPr>
        <w:t>Identifying, selecting and effectively managing business-supported social projects. Competency indicators include:</w:t>
      </w:r>
    </w:p>
    <w:p w14:paraId="6D54A5B9" w14:textId="77777777" w:rsidR="002F6124" w:rsidRDefault="00B34E12" w:rsidP="005C5702">
      <w:pPr>
        <w:numPr>
          <w:ilvl w:val="1"/>
          <w:numId w:val="9"/>
        </w:numPr>
        <w:spacing w:after="120"/>
        <w:ind w:left="993" w:hanging="633"/>
        <w:rPr>
          <w:rFonts w:cs="Arial"/>
          <w:szCs w:val="20"/>
        </w:rPr>
      </w:pPr>
      <w:r w:rsidRPr="002F6124">
        <w:rPr>
          <w:szCs w:val="20"/>
        </w:rPr>
        <w:t>designing business strategy, cost/benefit analysis, control and assurance of social projects;</w:t>
      </w:r>
    </w:p>
    <w:p w14:paraId="366B3480" w14:textId="77777777" w:rsidR="002F6124" w:rsidRDefault="00B34E12" w:rsidP="005C5702">
      <w:pPr>
        <w:numPr>
          <w:ilvl w:val="1"/>
          <w:numId w:val="9"/>
        </w:numPr>
        <w:spacing w:after="120"/>
        <w:ind w:left="993" w:hanging="633"/>
        <w:rPr>
          <w:rFonts w:cs="Arial"/>
          <w:szCs w:val="20"/>
        </w:rPr>
      </w:pPr>
      <w:r w:rsidRPr="002F6124">
        <w:rPr>
          <w:szCs w:val="20"/>
        </w:rPr>
        <w:t>building sustainable partnerships that include capacity development, respective resource inputs and value alignment;</w:t>
      </w:r>
    </w:p>
    <w:p w14:paraId="76FD7969" w14:textId="77777777" w:rsidR="002F6124" w:rsidRDefault="00B34E12" w:rsidP="005C5702">
      <w:pPr>
        <w:numPr>
          <w:ilvl w:val="1"/>
          <w:numId w:val="9"/>
        </w:numPr>
        <w:spacing w:after="120"/>
        <w:ind w:left="993" w:hanging="633"/>
        <w:rPr>
          <w:rFonts w:cs="Arial"/>
          <w:szCs w:val="20"/>
        </w:rPr>
      </w:pPr>
      <w:r w:rsidRPr="002F6124">
        <w:rPr>
          <w:szCs w:val="20"/>
        </w:rPr>
        <w:t>being able to monitor and evaluate social project viability, risks, progress and outcomes;</w:t>
      </w:r>
    </w:p>
    <w:p w14:paraId="02A64520" w14:textId="77777777" w:rsidR="002F6124" w:rsidRDefault="00B34E12" w:rsidP="005C5702">
      <w:pPr>
        <w:numPr>
          <w:ilvl w:val="1"/>
          <w:numId w:val="9"/>
        </w:numPr>
        <w:spacing w:after="120"/>
        <w:ind w:left="993" w:hanging="633"/>
        <w:rPr>
          <w:rFonts w:cs="Arial"/>
          <w:szCs w:val="20"/>
        </w:rPr>
      </w:pPr>
      <w:r w:rsidRPr="002F6124">
        <w:rPr>
          <w:szCs w:val="20"/>
        </w:rPr>
        <w:t>designing quantitative and qualitative performance indicators (e.g. education, health and economic metrics);</w:t>
      </w:r>
    </w:p>
    <w:p w14:paraId="26A0D096" w14:textId="77777777" w:rsidR="002F6124" w:rsidRDefault="00B34E12" w:rsidP="005C5702">
      <w:pPr>
        <w:numPr>
          <w:ilvl w:val="1"/>
          <w:numId w:val="9"/>
        </w:numPr>
        <w:spacing w:after="120"/>
        <w:ind w:left="993" w:hanging="633"/>
        <w:rPr>
          <w:rFonts w:cs="Arial"/>
          <w:szCs w:val="20"/>
        </w:rPr>
      </w:pPr>
      <w:r w:rsidRPr="002F6124">
        <w:rPr>
          <w:szCs w:val="20"/>
        </w:rPr>
        <w:t>ensuing the involvement of affected communities and other appropriate organisations; and</w:t>
      </w:r>
    </w:p>
    <w:p w14:paraId="0A38C545" w14:textId="79D158CC" w:rsidR="00FE36EB" w:rsidRPr="00FE36EB" w:rsidRDefault="00B34E12" w:rsidP="005C5702">
      <w:pPr>
        <w:numPr>
          <w:ilvl w:val="1"/>
          <w:numId w:val="9"/>
        </w:numPr>
        <w:spacing w:after="120"/>
        <w:ind w:left="993" w:hanging="633"/>
        <w:rPr>
          <w:rFonts w:cs="Arial"/>
          <w:szCs w:val="20"/>
        </w:rPr>
      </w:pPr>
      <w:r w:rsidRPr="002F6124">
        <w:rPr>
          <w:szCs w:val="20"/>
        </w:rPr>
        <w:t xml:space="preserve">understanding different </w:t>
      </w:r>
      <w:r w:rsidR="00A92F34" w:rsidRPr="002F6124">
        <w:rPr>
          <w:szCs w:val="20"/>
        </w:rPr>
        <w:t xml:space="preserve">social project and endowment </w:t>
      </w:r>
      <w:r w:rsidRPr="002F6124">
        <w:rPr>
          <w:szCs w:val="20"/>
        </w:rPr>
        <w:t>governance structures (e.g. trusts, foundations, managed funds</w:t>
      </w:r>
      <w:r w:rsidR="00A92F34" w:rsidRPr="002F6124">
        <w:rPr>
          <w:szCs w:val="20"/>
        </w:rPr>
        <w:t>, direct management</w:t>
      </w:r>
      <w:r w:rsidRPr="002F6124">
        <w:rPr>
          <w:szCs w:val="20"/>
        </w:rPr>
        <w:t>).</w:t>
      </w:r>
    </w:p>
    <w:p w14:paraId="6F487EEC" w14:textId="77777777" w:rsidR="00FE36EB" w:rsidRDefault="00FE36EB" w:rsidP="00FE36EB">
      <w:pPr>
        <w:spacing w:after="0"/>
        <w:ind w:left="357"/>
        <w:rPr>
          <w:rFonts w:cs="Arial"/>
          <w:szCs w:val="20"/>
        </w:rPr>
      </w:pPr>
    </w:p>
    <w:p w14:paraId="6B519B93" w14:textId="77777777" w:rsidR="00FE36EB" w:rsidRDefault="00B34E12" w:rsidP="00FE36EB">
      <w:pPr>
        <w:numPr>
          <w:ilvl w:val="0"/>
          <w:numId w:val="9"/>
        </w:numPr>
        <w:spacing w:after="120"/>
        <w:rPr>
          <w:rFonts w:cs="Arial"/>
          <w:szCs w:val="20"/>
        </w:rPr>
      </w:pPr>
      <w:r w:rsidRPr="00FE36EB">
        <w:rPr>
          <w:i/>
          <w:u w:val="single"/>
        </w:rPr>
        <w:t>Local employment and workforce development</w:t>
      </w:r>
      <w:r w:rsidRPr="00FE36EB">
        <w:rPr>
          <w:i/>
        </w:rPr>
        <w:t xml:space="preserve">. </w:t>
      </w:r>
      <w:r w:rsidRPr="00FE36EB">
        <w:rPr>
          <w:szCs w:val="20"/>
        </w:rPr>
        <w:t>In conjunction with human resources, operations functions and community representatives, designing processes for improving local employability and employment and brokering this within the business. Competency indicators include:</w:t>
      </w:r>
    </w:p>
    <w:p w14:paraId="3BAD06A6" w14:textId="77777777" w:rsidR="00FE36EB" w:rsidRDefault="00B34E12" w:rsidP="005C5702">
      <w:pPr>
        <w:numPr>
          <w:ilvl w:val="1"/>
          <w:numId w:val="9"/>
        </w:numPr>
        <w:spacing w:after="120"/>
        <w:ind w:left="993" w:hanging="633"/>
        <w:rPr>
          <w:rFonts w:cs="Arial"/>
          <w:szCs w:val="20"/>
        </w:rPr>
      </w:pPr>
      <w:r w:rsidRPr="00FE36EB">
        <w:rPr>
          <w:szCs w:val="20"/>
        </w:rPr>
        <w:t>designing appropriate and effective methods for training local people to be work-ready;</w:t>
      </w:r>
    </w:p>
    <w:p w14:paraId="4A22B623" w14:textId="77777777" w:rsidR="00FE36EB" w:rsidRDefault="00B34E12" w:rsidP="005C5702">
      <w:pPr>
        <w:numPr>
          <w:ilvl w:val="1"/>
          <w:numId w:val="9"/>
        </w:numPr>
        <w:spacing w:after="120"/>
        <w:ind w:left="993" w:hanging="633"/>
        <w:rPr>
          <w:rFonts w:cs="Arial"/>
          <w:szCs w:val="20"/>
        </w:rPr>
      </w:pPr>
      <w:r w:rsidRPr="00FE36EB">
        <w:rPr>
          <w:szCs w:val="20"/>
        </w:rPr>
        <w:t>knowing how to identify, recruit, select and employ suitable local people;</w:t>
      </w:r>
    </w:p>
    <w:p w14:paraId="531B3B34" w14:textId="77777777" w:rsidR="00FE36EB" w:rsidRDefault="00B34E12" w:rsidP="005C5702">
      <w:pPr>
        <w:numPr>
          <w:ilvl w:val="1"/>
          <w:numId w:val="9"/>
        </w:numPr>
        <w:spacing w:after="120"/>
        <w:ind w:left="993" w:hanging="633"/>
        <w:rPr>
          <w:rFonts w:cs="Arial"/>
          <w:szCs w:val="20"/>
        </w:rPr>
      </w:pPr>
      <w:r w:rsidRPr="00FE36EB">
        <w:rPr>
          <w:szCs w:val="20"/>
        </w:rPr>
        <w:t>ensuring selection processes and criteria match business and community needs;</w:t>
      </w:r>
    </w:p>
    <w:p w14:paraId="34B578BE" w14:textId="77777777" w:rsidR="00FE36EB" w:rsidRDefault="00B34E12" w:rsidP="005C5702">
      <w:pPr>
        <w:numPr>
          <w:ilvl w:val="1"/>
          <w:numId w:val="9"/>
        </w:numPr>
        <w:spacing w:after="120"/>
        <w:ind w:left="993" w:hanging="633"/>
        <w:rPr>
          <w:rFonts w:cs="Arial"/>
          <w:szCs w:val="20"/>
        </w:rPr>
      </w:pPr>
      <w:r w:rsidRPr="00FE36EB">
        <w:rPr>
          <w:szCs w:val="20"/>
        </w:rPr>
        <w:t xml:space="preserve">reviewing performance and reporting on measures to community on a regular basis; </w:t>
      </w:r>
    </w:p>
    <w:p w14:paraId="7D7E856B" w14:textId="77777777" w:rsidR="00FE36EB" w:rsidRDefault="00B34E12" w:rsidP="005C5702">
      <w:pPr>
        <w:numPr>
          <w:ilvl w:val="1"/>
          <w:numId w:val="9"/>
        </w:numPr>
        <w:spacing w:after="120"/>
        <w:ind w:left="993" w:hanging="633"/>
        <w:rPr>
          <w:rFonts w:cs="Arial"/>
          <w:szCs w:val="20"/>
        </w:rPr>
      </w:pPr>
      <w:r w:rsidRPr="00FE36EB">
        <w:rPr>
          <w:szCs w:val="20"/>
        </w:rPr>
        <w:t>mitigating the potential impact on family life, gender relationships and other local norms; and</w:t>
      </w:r>
    </w:p>
    <w:p w14:paraId="1C82EB66" w14:textId="1F6BA4E0" w:rsidR="00450B65" w:rsidRPr="00450B65" w:rsidRDefault="00B34E12" w:rsidP="005C5702">
      <w:pPr>
        <w:numPr>
          <w:ilvl w:val="1"/>
          <w:numId w:val="9"/>
        </w:numPr>
        <w:spacing w:after="120"/>
        <w:ind w:left="993" w:hanging="633"/>
        <w:rPr>
          <w:rFonts w:cs="Arial"/>
          <w:szCs w:val="20"/>
        </w:rPr>
      </w:pPr>
      <w:r w:rsidRPr="00FE36EB">
        <w:rPr>
          <w:szCs w:val="20"/>
        </w:rPr>
        <w:t>understanding how to expand local employment opportunities through contractor activities.</w:t>
      </w:r>
    </w:p>
    <w:p w14:paraId="7FA0F804" w14:textId="77777777" w:rsidR="00450B65" w:rsidRDefault="00450B65" w:rsidP="00450B65">
      <w:pPr>
        <w:spacing w:after="0"/>
        <w:ind w:left="357"/>
        <w:rPr>
          <w:rFonts w:cs="Arial"/>
          <w:szCs w:val="20"/>
        </w:rPr>
      </w:pPr>
    </w:p>
    <w:p w14:paraId="22B1FA04" w14:textId="77777777" w:rsidR="00450B65" w:rsidRDefault="00B34E12" w:rsidP="00450B65">
      <w:pPr>
        <w:numPr>
          <w:ilvl w:val="0"/>
          <w:numId w:val="9"/>
        </w:numPr>
        <w:spacing w:after="120"/>
        <w:rPr>
          <w:rFonts w:cs="Arial"/>
          <w:szCs w:val="20"/>
        </w:rPr>
      </w:pPr>
      <w:r w:rsidRPr="00450B65">
        <w:rPr>
          <w:i/>
          <w:u w:val="single"/>
        </w:rPr>
        <w:t>Local enterprise facilitation and development</w:t>
      </w:r>
      <w:r w:rsidRPr="00450B65">
        <w:rPr>
          <w:i/>
        </w:rPr>
        <w:t xml:space="preserve">. </w:t>
      </w:r>
      <w:r w:rsidRPr="00450B65">
        <w:rPr>
          <w:szCs w:val="20"/>
        </w:rPr>
        <w:t>In conjunction with procurement, other functions and community representatives, facilitating the development of local/regional small and medium enterprises (SME). Competency indicators include:</w:t>
      </w:r>
    </w:p>
    <w:p w14:paraId="6D54FAC7" w14:textId="77777777" w:rsidR="00450B65" w:rsidRDefault="00B34E12" w:rsidP="005C5702">
      <w:pPr>
        <w:numPr>
          <w:ilvl w:val="1"/>
          <w:numId w:val="9"/>
        </w:numPr>
        <w:spacing w:after="120"/>
        <w:ind w:left="993" w:hanging="633"/>
        <w:rPr>
          <w:rFonts w:cs="Arial"/>
          <w:szCs w:val="20"/>
        </w:rPr>
      </w:pPr>
      <w:r w:rsidRPr="00450B65">
        <w:rPr>
          <w:szCs w:val="20"/>
        </w:rPr>
        <w:t xml:space="preserve">understanding approaches and methods to identify local entrepreneurs and SME opportunities; </w:t>
      </w:r>
    </w:p>
    <w:p w14:paraId="258FEE4D" w14:textId="77777777" w:rsidR="00450B65" w:rsidRDefault="00B34E12" w:rsidP="005C5702">
      <w:pPr>
        <w:numPr>
          <w:ilvl w:val="1"/>
          <w:numId w:val="9"/>
        </w:numPr>
        <w:spacing w:after="120"/>
        <w:ind w:left="993" w:hanging="633"/>
        <w:rPr>
          <w:rFonts w:cs="Arial"/>
          <w:szCs w:val="20"/>
        </w:rPr>
      </w:pPr>
      <w:r w:rsidRPr="00450B65">
        <w:rPr>
          <w:szCs w:val="20"/>
        </w:rPr>
        <w:t xml:space="preserve">designing business processes for sourcing of local goods and services including optimal invoicing arrangements; </w:t>
      </w:r>
    </w:p>
    <w:p w14:paraId="24457726" w14:textId="77777777" w:rsidR="00450B65" w:rsidRDefault="00B34E12" w:rsidP="005C5702">
      <w:pPr>
        <w:numPr>
          <w:ilvl w:val="1"/>
          <w:numId w:val="9"/>
        </w:numPr>
        <w:spacing w:after="120"/>
        <w:ind w:left="993" w:hanging="633"/>
        <w:rPr>
          <w:rFonts w:cs="Arial"/>
          <w:szCs w:val="20"/>
        </w:rPr>
      </w:pPr>
      <w:r w:rsidRPr="00450B65">
        <w:rPr>
          <w:szCs w:val="20"/>
        </w:rPr>
        <w:t xml:space="preserve">being able to foster SME development programs, business incubators and advisory services; </w:t>
      </w:r>
    </w:p>
    <w:p w14:paraId="6863CBEF" w14:textId="77777777" w:rsidR="00450B65" w:rsidRDefault="00B34E12" w:rsidP="005C5702">
      <w:pPr>
        <w:numPr>
          <w:ilvl w:val="1"/>
          <w:numId w:val="9"/>
        </w:numPr>
        <w:spacing w:after="120"/>
        <w:ind w:left="993" w:hanging="633"/>
        <w:rPr>
          <w:rFonts w:cs="Arial"/>
          <w:szCs w:val="20"/>
        </w:rPr>
      </w:pPr>
      <w:r w:rsidRPr="00450B65">
        <w:rPr>
          <w:szCs w:val="20"/>
        </w:rPr>
        <w:t>brokering SME development partnerships with government, civil society and other enterprises;</w:t>
      </w:r>
    </w:p>
    <w:p w14:paraId="4599CF21" w14:textId="77777777" w:rsidR="00450B65" w:rsidRDefault="00B34E12" w:rsidP="005C5702">
      <w:pPr>
        <w:numPr>
          <w:ilvl w:val="1"/>
          <w:numId w:val="9"/>
        </w:numPr>
        <w:spacing w:after="120"/>
        <w:ind w:left="993" w:hanging="633"/>
        <w:rPr>
          <w:rFonts w:cs="Arial"/>
          <w:szCs w:val="20"/>
        </w:rPr>
      </w:pPr>
      <w:r w:rsidRPr="00450B65">
        <w:rPr>
          <w:szCs w:val="20"/>
        </w:rPr>
        <w:t>understanding the principles of micro-financing and other SME funding models; and</w:t>
      </w:r>
    </w:p>
    <w:p w14:paraId="3E624AB7" w14:textId="33FFAE6B" w:rsidR="00450B65" w:rsidRPr="00450B65" w:rsidRDefault="00B34E12" w:rsidP="005C5702">
      <w:pPr>
        <w:numPr>
          <w:ilvl w:val="1"/>
          <w:numId w:val="9"/>
        </w:numPr>
        <w:spacing w:after="120"/>
        <w:ind w:left="993" w:hanging="633"/>
        <w:rPr>
          <w:rFonts w:cs="Arial"/>
          <w:szCs w:val="20"/>
        </w:rPr>
      </w:pPr>
      <w:r w:rsidRPr="00450B65">
        <w:rPr>
          <w:szCs w:val="20"/>
        </w:rPr>
        <w:t>monitoring performance outcomes and reporting these internally and externally.</w:t>
      </w:r>
    </w:p>
    <w:p w14:paraId="72D3200D" w14:textId="2881831E" w:rsidR="00450B65" w:rsidRDefault="00450B65" w:rsidP="00450B65">
      <w:pPr>
        <w:spacing w:after="0"/>
        <w:ind w:left="357"/>
        <w:rPr>
          <w:rFonts w:cs="Arial"/>
          <w:szCs w:val="20"/>
        </w:rPr>
      </w:pPr>
    </w:p>
    <w:p w14:paraId="28D39B07" w14:textId="77777777" w:rsidR="00450B65" w:rsidRPr="002C2E08" w:rsidRDefault="00450B65" w:rsidP="00130CE8">
      <w:pPr>
        <w:spacing w:after="120"/>
        <w:rPr>
          <w:szCs w:val="20"/>
        </w:rPr>
      </w:pPr>
      <w:r>
        <w:rPr>
          <w:szCs w:val="20"/>
        </w:rPr>
        <w:t>The following Areas of Practice descriptors relate to systemic requirements in the minerals sector and can apply to Environment and Social Performance (ESP) and other professional disciplines.</w:t>
      </w:r>
    </w:p>
    <w:p w14:paraId="72C940E6" w14:textId="77777777" w:rsidR="00450B65" w:rsidRDefault="00B4365F" w:rsidP="00450B65">
      <w:pPr>
        <w:numPr>
          <w:ilvl w:val="0"/>
          <w:numId w:val="9"/>
        </w:numPr>
        <w:spacing w:after="120"/>
        <w:rPr>
          <w:rFonts w:cs="Arial"/>
          <w:szCs w:val="20"/>
        </w:rPr>
      </w:pPr>
      <w:r w:rsidRPr="00450B65">
        <w:rPr>
          <w:i/>
          <w:u w:val="single"/>
        </w:rPr>
        <w:t xml:space="preserve">Mining enterprise management systems. </w:t>
      </w:r>
      <w:r w:rsidRPr="00450B65">
        <w:rPr>
          <w:szCs w:val="20"/>
        </w:rPr>
        <w:t>Familiarity with enterprise governance and management systems and using these in the course of ESP work to create business value. Competency indicators include:</w:t>
      </w:r>
    </w:p>
    <w:p w14:paraId="29E87763" w14:textId="77777777" w:rsidR="00450B65" w:rsidRDefault="00B4365F" w:rsidP="005C5702">
      <w:pPr>
        <w:numPr>
          <w:ilvl w:val="1"/>
          <w:numId w:val="9"/>
        </w:numPr>
        <w:spacing w:after="120"/>
        <w:ind w:left="993" w:hanging="633"/>
        <w:rPr>
          <w:rFonts w:cs="Arial"/>
          <w:szCs w:val="20"/>
        </w:rPr>
      </w:pPr>
      <w:r w:rsidRPr="00450B65">
        <w:rPr>
          <w:szCs w:val="20"/>
        </w:rPr>
        <w:t>understanding overarching business context, needs and strategies, and positioning ESP accordingly;</w:t>
      </w:r>
    </w:p>
    <w:p w14:paraId="4C063AEB" w14:textId="77777777" w:rsidR="00450B65" w:rsidRDefault="00B4365F" w:rsidP="005C5702">
      <w:pPr>
        <w:numPr>
          <w:ilvl w:val="1"/>
          <w:numId w:val="9"/>
        </w:numPr>
        <w:spacing w:after="120"/>
        <w:ind w:left="993" w:hanging="633"/>
        <w:rPr>
          <w:rFonts w:cs="Arial"/>
          <w:szCs w:val="20"/>
        </w:rPr>
      </w:pPr>
      <w:r w:rsidRPr="00450B65">
        <w:rPr>
          <w:szCs w:val="20"/>
        </w:rPr>
        <w:t>using risk and materiality assessments to appropriately position ESP factors in risk registers;</w:t>
      </w:r>
    </w:p>
    <w:p w14:paraId="4A73A342" w14:textId="77777777" w:rsidR="00450B65" w:rsidRDefault="00B4365F" w:rsidP="005C5702">
      <w:pPr>
        <w:numPr>
          <w:ilvl w:val="1"/>
          <w:numId w:val="9"/>
        </w:numPr>
        <w:spacing w:after="120"/>
        <w:ind w:left="993" w:hanging="633"/>
        <w:rPr>
          <w:rFonts w:cs="Arial"/>
          <w:szCs w:val="20"/>
        </w:rPr>
      </w:pPr>
      <w:r w:rsidRPr="00450B65">
        <w:rPr>
          <w:szCs w:val="20"/>
        </w:rPr>
        <w:t>managing ESP matters in a way that considers why and how external stakeholders interact with mining enterprises and ensures that interactions add value to them and the enterprises;</w:t>
      </w:r>
    </w:p>
    <w:p w14:paraId="0F1E0EA2" w14:textId="77777777" w:rsidR="00450B65" w:rsidRDefault="00B4365F" w:rsidP="005C5702">
      <w:pPr>
        <w:numPr>
          <w:ilvl w:val="1"/>
          <w:numId w:val="9"/>
        </w:numPr>
        <w:spacing w:after="120"/>
        <w:ind w:left="993" w:hanging="633"/>
        <w:rPr>
          <w:rFonts w:cs="Arial"/>
          <w:szCs w:val="20"/>
        </w:rPr>
      </w:pPr>
      <w:r w:rsidRPr="00450B65">
        <w:rPr>
          <w:szCs w:val="20"/>
        </w:rPr>
        <w:t>positioning ESP in an organisational context, particularly within the</w:t>
      </w:r>
      <w:r w:rsidR="00421A45" w:rsidRPr="00450B65">
        <w:rPr>
          <w:szCs w:val="20"/>
        </w:rPr>
        <w:t xml:space="preserve"> Health, Safety and Environment</w:t>
      </w:r>
      <w:r w:rsidRPr="00450B65">
        <w:rPr>
          <w:szCs w:val="20"/>
        </w:rPr>
        <w:t xml:space="preserve"> </w:t>
      </w:r>
      <w:r w:rsidR="00421A45" w:rsidRPr="00450B65">
        <w:rPr>
          <w:szCs w:val="20"/>
        </w:rPr>
        <w:t>(</w:t>
      </w:r>
      <w:r w:rsidRPr="00450B65">
        <w:rPr>
          <w:szCs w:val="20"/>
        </w:rPr>
        <w:t>HSE, Human Resources, Finance, Operations, Risk, Internal Audit, Communication, Government and Public Relations functions.</w:t>
      </w:r>
      <w:r w:rsidR="00421A45" w:rsidRPr="00450B65">
        <w:rPr>
          <w:szCs w:val="20"/>
        </w:rPr>
        <w:t>)</w:t>
      </w:r>
    </w:p>
    <w:p w14:paraId="4E293E74" w14:textId="77777777" w:rsidR="00450B65" w:rsidRDefault="00B4365F" w:rsidP="005C5702">
      <w:pPr>
        <w:numPr>
          <w:ilvl w:val="1"/>
          <w:numId w:val="9"/>
        </w:numPr>
        <w:spacing w:after="120"/>
        <w:ind w:left="993" w:hanging="633"/>
        <w:rPr>
          <w:rFonts w:cs="Arial"/>
          <w:szCs w:val="20"/>
        </w:rPr>
      </w:pPr>
      <w:r w:rsidRPr="00450B65">
        <w:rPr>
          <w:szCs w:val="20"/>
        </w:rPr>
        <w:t>managing ESP through an enterprise’s existing systems and tools, such as change management approaches, budgeting tools and lean boards;</w:t>
      </w:r>
    </w:p>
    <w:p w14:paraId="4FCCD760" w14:textId="77777777" w:rsidR="00450B65" w:rsidRDefault="00B4365F" w:rsidP="005C5702">
      <w:pPr>
        <w:numPr>
          <w:ilvl w:val="1"/>
          <w:numId w:val="9"/>
        </w:numPr>
        <w:spacing w:after="120"/>
        <w:ind w:left="993" w:hanging="633"/>
        <w:rPr>
          <w:rFonts w:cs="Arial"/>
          <w:szCs w:val="20"/>
        </w:rPr>
      </w:pPr>
      <w:r w:rsidRPr="00450B65">
        <w:rPr>
          <w:szCs w:val="20"/>
        </w:rPr>
        <w:t>ensuring community and stakeholder feedback is adequately recorded and understood within and across an enterprise;</w:t>
      </w:r>
    </w:p>
    <w:p w14:paraId="75E3E9B8" w14:textId="77777777" w:rsidR="00450B65" w:rsidRDefault="00B4365F" w:rsidP="005C5702">
      <w:pPr>
        <w:numPr>
          <w:ilvl w:val="1"/>
          <w:numId w:val="9"/>
        </w:numPr>
        <w:spacing w:after="120"/>
        <w:ind w:left="993" w:hanging="633"/>
        <w:rPr>
          <w:rFonts w:cs="Arial"/>
          <w:szCs w:val="20"/>
        </w:rPr>
      </w:pPr>
      <w:r w:rsidRPr="00450B65">
        <w:rPr>
          <w:szCs w:val="20"/>
        </w:rPr>
        <w:t>establishing ESP accountability in enterprise management frameworks and business practice;</w:t>
      </w:r>
    </w:p>
    <w:p w14:paraId="42E706E1" w14:textId="77777777" w:rsidR="00450B65" w:rsidRDefault="00B4365F" w:rsidP="005C5702">
      <w:pPr>
        <w:numPr>
          <w:ilvl w:val="1"/>
          <w:numId w:val="9"/>
        </w:numPr>
        <w:spacing w:after="120"/>
        <w:ind w:left="993" w:hanging="633"/>
        <w:rPr>
          <w:rFonts w:cs="Arial"/>
          <w:szCs w:val="20"/>
        </w:rPr>
      </w:pPr>
      <w:r w:rsidRPr="00450B65">
        <w:rPr>
          <w:szCs w:val="20"/>
        </w:rPr>
        <w:t>ensuring ESP compliance and performance consequences are accurately understood and factored in enterprise internal audit/assurance processes; and</w:t>
      </w:r>
    </w:p>
    <w:p w14:paraId="597E69F0" w14:textId="3FDF98FE" w:rsidR="00450B65" w:rsidRPr="00450B65" w:rsidRDefault="00B4365F" w:rsidP="005C5702">
      <w:pPr>
        <w:numPr>
          <w:ilvl w:val="1"/>
          <w:numId w:val="9"/>
        </w:numPr>
        <w:spacing w:after="120"/>
        <w:ind w:left="993" w:hanging="633"/>
        <w:rPr>
          <w:rFonts w:cs="Arial"/>
          <w:szCs w:val="20"/>
        </w:rPr>
      </w:pPr>
      <w:r w:rsidRPr="00450B65">
        <w:rPr>
          <w:szCs w:val="20"/>
        </w:rPr>
        <w:t>developing and embedding ESP metrics into business improvement, compliance and reporting</w:t>
      </w:r>
      <w:r w:rsidR="005C5702">
        <w:rPr>
          <w:szCs w:val="20"/>
        </w:rPr>
        <w:t>.</w:t>
      </w:r>
    </w:p>
    <w:p w14:paraId="2B0950C0" w14:textId="77777777" w:rsidR="00450B65" w:rsidRPr="00450B65" w:rsidRDefault="00450B65" w:rsidP="008A45BC">
      <w:pPr>
        <w:spacing w:after="0"/>
        <w:ind w:left="357"/>
        <w:rPr>
          <w:rFonts w:cs="Arial"/>
          <w:szCs w:val="20"/>
        </w:rPr>
      </w:pPr>
    </w:p>
    <w:p w14:paraId="50C767AF" w14:textId="77777777" w:rsidR="00450B65" w:rsidRDefault="00B4365F" w:rsidP="00450B65">
      <w:pPr>
        <w:numPr>
          <w:ilvl w:val="0"/>
          <w:numId w:val="9"/>
        </w:numPr>
        <w:spacing w:after="120"/>
        <w:rPr>
          <w:rFonts w:cs="Arial"/>
          <w:szCs w:val="20"/>
        </w:rPr>
      </w:pPr>
      <w:r w:rsidRPr="00450B65">
        <w:rPr>
          <w:i/>
          <w:u w:val="single"/>
        </w:rPr>
        <w:t xml:space="preserve">Multi-lateral and financial institutions standards. </w:t>
      </w:r>
      <w:r w:rsidRPr="00450B65">
        <w:rPr>
          <w:szCs w:val="20"/>
        </w:rPr>
        <w:t xml:space="preserve">Managing ESP matters to achieve business compliance with government and other external ESP policies, standards and guidelines. Competency indicators include working knowledge and application of: </w:t>
      </w:r>
    </w:p>
    <w:p w14:paraId="7C62E0E0" w14:textId="77777777" w:rsidR="00450B65" w:rsidRDefault="00B4365F" w:rsidP="005C5702">
      <w:pPr>
        <w:numPr>
          <w:ilvl w:val="1"/>
          <w:numId w:val="9"/>
        </w:numPr>
        <w:spacing w:after="120"/>
        <w:ind w:left="993" w:hanging="633"/>
        <w:rPr>
          <w:rFonts w:cs="Arial"/>
          <w:szCs w:val="20"/>
        </w:rPr>
      </w:pPr>
      <w:r w:rsidRPr="00450B65">
        <w:rPr>
          <w:szCs w:val="20"/>
        </w:rPr>
        <w:t>context-specific jurisdictional statutory, regulatory and policy requirements;</w:t>
      </w:r>
    </w:p>
    <w:p w14:paraId="71E544E5" w14:textId="77777777" w:rsidR="00450B65" w:rsidRDefault="00B4365F" w:rsidP="005C5702">
      <w:pPr>
        <w:numPr>
          <w:ilvl w:val="1"/>
          <w:numId w:val="9"/>
        </w:numPr>
        <w:spacing w:after="120"/>
        <w:ind w:left="993" w:hanging="633"/>
        <w:rPr>
          <w:rFonts w:cs="Arial"/>
          <w:szCs w:val="20"/>
        </w:rPr>
      </w:pPr>
      <w:r w:rsidRPr="00450B65">
        <w:rPr>
          <w:szCs w:val="20"/>
        </w:rPr>
        <w:t>relevant United Nations (UN) and International Labour Organisation (ILO) and other declarations, such as the UN Guiding Principles on Business and Human Rights, the UN Declaration on the Rights of Indigenous Peoples and the Voluntary Principles on Security and Human Rights;</w:t>
      </w:r>
    </w:p>
    <w:p w14:paraId="4B19ED8A" w14:textId="77777777" w:rsidR="00450B65" w:rsidRDefault="00B4365F" w:rsidP="005C5702">
      <w:pPr>
        <w:numPr>
          <w:ilvl w:val="1"/>
          <w:numId w:val="9"/>
        </w:numPr>
        <w:spacing w:after="120"/>
        <w:ind w:left="993" w:hanging="633"/>
        <w:rPr>
          <w:rFonts w:cs="Arial"/>
          <w:szCs w:val="20"/>
        </w:rPr>
      </w:pPr>
      <w:r w:rsidRPr="00450B65">
        <w:rPr>
          <w:szCs w:val="20"/>
        </w:rPr>
        <w:t>International Finance Corporation (IFC) and similar Performance Standards;</w:t>
      </w:r>
    </w:p>
    <w:p w14:paraId="5638334C" w14:textId="77777777" w:rsidR="00450B65" w:rsidRDefault="00B4365F" w:rsidP="005C5702">
      <w:pPr>
        <w:numPr>
          <w:ilvl w:val="1"/>
          <w:numId w:val="9"/>
        </w:numPr>
        <w:spacing w:after="120"/>
        <w:ind w:left="993" w:hanging="633"/>
        <w:rPr>
          <w:rFonts w:cs="Arial"/>
          <w:szCs w:val="20"/>
        </w:rPr>
      </w:pPr>
      <w:r w:rsidRPr="00450B65">
        <w:rPr>
          <w:szCs w:val="20"/>
        </w:rPr>
        <w:t>Equator Bank and other relevant principles, codes of conduct and good practice;</w:t>
      </w:r>
    </w:p>
    <w:p w14:paraId="4BA22B1E" w14:textId="77777777" w:rsidR="00450B65" w:rsidRDefault="00B4365F" w:rsidP="005C5702">
      <w:pPr>
        <w:numPr>
          <w:ilvl w:val="1"/>
          <w:numId w:val="9"/>
        </w:numPr>
        <w:spacing w:after="120"/>
        <w:ind w:left="993" w:hanging="633"/>
        <w:rPr>
          <w:rFonts w:cs="Arial"/>
          <w:szCs w:val="20"/>
        </w:rPr>
      </w:pPr>
      <w:r w:rsidRPr="00450B65">
        <w:rPr>
          <w:szCs w:val="20"/>
        </w:rPr>
        <w:t>Extractive Industries Transparency Initiative (EITI) and the Global Reporting Initiative (GRI);</w:t>
      </w:r>
    </w:p>
    <w:p w14:paraId="11A82B86" w14:textId="77777777" w:rsidR="00450B65" w:rsidRDefault="00B4365F" w:rsidP="005C5702">
      <w:pPr>
        <w:numPr>
          <w:ilvl w:val="1"/>
          <w:numId w:val="9"/>
        </w:numPr>
        <w:spacing w:after="120"/>
        <w:ind w:left="993" w:hanging="633"/>
        <w:rPr>
          <w:rFonts w:cs="Arial"/>
          <w:szCs w:val="20"/>
        </w:rPr>
      </w:pPr>
      <w:r w:rsidRPr="00450B65">
        <w:rPr>
          <w:szCs w:val="20"/>
        </w:rPr>
        <w:t>OECD Due Diligence Guidance for Responsible Business Conduct;</w:t>
      </w:r>
    </w:p>
    <w:p w14:paraId="13EDB66B" w14:textId="77777777" w:rsidR="00450B65" w:rsidRDefault="00B4365F" w:rsidP="005C5702">
      <w:pPr>
        <w:numPr>
          <w:ilvl w:val="1"/>
          <w:numId w:val="9"/>
        </w:numPr>
        <w:spacing w:after="120"/>
        <w:ind w:left="993" w:hanging="633"/>
        <w:rPr>
          <w:rFonts w:cs="Arial"/>
          <w:szCs w:val="20"/>
        </w:rPr>
      </w:pPr>
      <w:r w:rsidRPr="00450B65">
        <w:rPr>
          <w:szCs w:val="20"/>
        </w:rPr>
        <w:t>relevant management certification standards (e.g. ISO 14001 and ISO 26000); and</w:t>
      </w:r>
    </w:p>
    <w:p w14:paraId="47DE9A6B" w14:textId="46FEC3F6" w:rsidR="008A45BC" w:rsidRPr="008A45BC" w:rsidRDefault="00B4365F" w:rsidP="005C5702">
      <w:pPr>
        <w:numPr>
          <w:ilvl w:val="1"/>
          <w:numId w:val="9"/>
        </w:numPr>
        <w:spacing w:after="120"/>
        <w:ind w:left="993" w:hanging="633"/>
        <w:rPr>
          <w:rFonts w:cs="Arial"/>
          <w:szCs w:val="20"/>
        </w:rPr>
      </w:pPr>
      <w:r w:rsidRPr="00450B65">
        <w:rPr>
          <w:szCs w:val="20"/>
        </w:rPr>
        <w:lastRenderedPageBreak/>
        <w:t>adequately positioning and managing ESP practice, governance and reporting to help secure financing</w:t>
      </w:r>
      <w:r w:rsidR="008A45BC">
        <w:rPr>
          <w:szCs w:val="20"/>
        </w:rPr>
        <w:t>.</w:t>
      </w:r>
    </w:p>
    <w:p w14:paraId="36B090FB" w14:textId="77777777" w:rsidR="008A45BC" w:rsidRPr="008A45BC" w:rsidRDefault="008A45BC" w:rsidP="008A45BC">
      <w:pPr>
        <w:spacing w:after="0"/>
        <w:ind w:left="357"/>
        <w:rPr>
          <w:rFonts w:cs="Arial"/>
          <w:szCs w:val="20"/>
        </w:rPr>
      </w:pPr>
    </w:p>
    <w:p w14:paraId="2A4E711D" w14:textId="77777777" w:rsidR="008A45BC" w:rsidRDefault="00B4365F" w:rsidP="008A45BC">
      <w:pPr>
        <w:numPr>
          <w:ilvl w:val="0"/>
          <w:numId w:val="9"/>
        </w:numPr>
        <w:spacing w:after="120"/>
        <w:rPr>
          <w:rFonts w:cs="Arial"/>
          <w:szCs w:val="20"/>
        </w:rPr>
      </w:pPr>
      <w:r w:rsidRPr="008A45BC">
        <w:rPr>
          <w:i/>
          <w:iCs/>
          <w:color w:val="000000" w:themeColor="text1"/>
          <w:szCs w:val="20"/>
          <w:u w:val="single"/>
        </w:rPr>
        <w:t>Sustainable Developmen</w:t>
      </w:r>
      <w:r w:rsidRPr="008A45BC">
        <w:rPr>
          <w:i/>
          <w:iCs/>
          <w:color w:val="000000" w:themeColor="text1"/>
          <w:u w:val="single"/>
        </w:rPr>
        <w:t xml:space="preserve">t principles. </w:t>
      </w:r>
      <w:r w:rsidRPr="008A45BC">
        <w:rPr>
          <w:color w:val="000000" w:themeColor="text1"/>
          <w:szCs w:val="20"/>
        </w:rPr>
        <w:t xml:space="preserve">Understanding the history of Sustainable Development (SD), evolving Sustainability expectations and how this relates to business Environment-Social-Governance (ESG) performance, metrics and reporting. </w:t>
      </w:r>
      <w:r w:rsidRPr="008A45BC">
        <w:rPr>
          <w:szCs w:val="20"/>
        </w:rPr>
        <w:t>Competency indicators include working knowledge and application of:</w:t>
      </w:r>
    </w:p>
    <w:p w14:paraId="12EADB6D" w14:textId="77777777" w:rsidR="008A45BC" w:rsidRPr="008A45BC" w:rsidRDefault="00B4365F" w:rsidP="005C5702">
      <w:pPr>
        <w:numPr>
          <w:ilvl w:val="1"/>
          <w:numId w:val="9"/>
        </w:numPr>
        <w:spacing w:after="120"/>
        <w:ind w:left="993" w:hanging="709"/>
        <w:rPr>
          <w:rFonts w:cs="Arial"/>
          <w:szCs w:val="20"/>
        </w:rPr>
      </w:pPr>
      <w:r w:rsidRPr="008A45BC">
        <w:rPr>
          <w:szCs w:val="20"/>
        </w:rPr>
        <w:t>the economic, social, environmental and governance aspects of Sustainable Development</w:t>
      </w:r>
    </w:p>
    <w:p w14:paraId="39C4A0C2" w14:textId="77777777" w:rsidR="008A45BC" w:rsidRDefault="00B4365F" w:rsidP="005C5702">
      <w:pPr>
        <w:numPr>
          <w:ilvl w:val="1"/>
          <w:numId w:val="9"/>
        </w:numPr>
        <w:spacing w:after="120"/>
        <w:ind w:left="993" w:hanging="709"/>
        <w:rPr>
          <w:rFonts w:cs="Arial"/>
          <w:szCs w:val="20"/>
        </w:rPr>
      </w:pPr>
      <w:r w:rsidRPr="008A45BC">
        <w:rPr>
          <w:color w:val="000000" w:themeColor="text1"/>
        </w:rPr>
        <w:t>concepts like intergenerational</w:t>
      </w:r>
      <w:r w:rsidRPr="008A45BC">
        <w:rPr>
          <w:color w:val="000000" w:themeColor="text1"/>
          <w:spacing w:val="-3"/>
        </w:rPr>
        <w:t xml:space="preserve"> </w:t>
      </w:r>
      <w:r w:rsidRPr="008A45BC">
        <w:rPr>
          <w:color w:val="000000" w:themeColor="text1"/>
        </w:rPr>
        <w:t>equity, materiality and natural and social capital fungibility;</w:t>
      </w:r>
    </w:p>
    <w:p w14:paraId="0E08C04A" w14:textId="77777777" w:rsidR="008A45BC" w:rsidRDefault="00B4365F" w:rsidP="005C5702">
      <w:pPr>
        <w:numPr>
          <w:ilvl w:val="1"/>
          <w:numId w:val="9"/>
        </w:numPr>
        <w:spacing w:after="120"/>
        <w:ind w:left="993" w:hanging="709"/>
        <w:rPr>
          <w:rFonts w:cs="Arial"/>
          <w:szCs w:val="20"/>
        </w:rPr>
      </w:pPr>
      <w:r w:rsidRPr="008A45BC">
        <w:rPr>
          <w:color w:val="000000" w:themeColor="text1"/>
        </w:rPr>
        <w:t>ESP in Sustainability Standards Accounting Board approaches;</w:t>
      </w:r>
    </w:p>
    <w:p w14:paraId="777D0127" w14:textId="77777777" w:rsidR="008A45BC" w:rsidRDefault="00B4365F" w:rsidP="005C5702">
      <w:pPr>
        <w:numPr>
          <w:ilvl w:val="1"/>
          <w:numId w:val="9"/>
        </w:numPr>
        <w:spacing w:after="120"/>
        <w:ind w:left="993" w:hanging="709"/>
        <w:rPr>
          <w:rFonts w:cs="Arial"/>
          <w:szCs w:val="20"/>
        </w:rPr>
      </w:pPr>
      <w:r w:rsidRPr="008A45BC">
        <w:rPr>
          <w:color w:val="000000" w:themeColor="text1"/>
        </w:rPr>
        <w:t>sustainable supply chain assessments;</w:t>
      </w:r>
      <w:r w:rsidRPr="008A45BC">
        <w:rPr>
          <w:color w:val="000000" w:themeColor="text1"/>
          <w:spacing w:val="2"/>
        </w:rPr>
        <w:t xml:space="preserve"> </w:t>
      </w:r>
    </w:p>
    <w:p w14:paraId="4B3CB773" w14:textId="77777777" w:rsidR="008A45BC" w:rsidRDefault="00B4365F" w:rsidP="005C5702">
      <w:pPr>
        <w:numPr>
          <w:ilvl w:val="1"/>
          <w:numId w:val="9"/>
        </w:numPr>
        <w:spacing w:after="120"/>
        <w:ind w:left="993" w:hanging="709"/>
        <w:rPr>
          <w:rFonts w:cs="Arial"/>
          <w:szCs w:val="20"/>
        </w:rPr>
      </w:pPr>
      <w:r w:rsidRPr="008A45BC">
        <w:rPr>
          <w:color w:val="000000" w:themeColor="text1"/>
          <w:szCs w:val="20"/>
        </w:rPr>
        <w:t>extractive sector ESP alignment with the UN Sustainable Development Goals (SDGs);</w:t>
      </w:r>
    </w:p>
    <w:p w14:paraId="10E98C64" w14:textId="77777777" w:rsidR="008A45BC" w:rsidRDefault="00B4365F" w:rsidP="005C5702">
      <w:pPr>
        <w:numPr>
          <w:ilvl w:val="1"/>
          <w:numId w:val="9"/>
        </w:numPr>
        <w:spacing w:after="120"/>
        <w:ind w:left="993" w:hanging="709"/>
        <w:rPr>
          <w:rFonts w:cs="Arial"/>
          <w:szCs w:val="20"/>
        </w:rPr>
      </w:pPr>
      <w:r w:rsidRPr="008A45BC">
        <w:rPr>
          <w:color w:val="000000" w:themeColor="text1"/>
          <w:szCs w:val="20"/>
        </w:rPr>
        <w:t>International Council for Mining and Metals (ICMM) 10 Principles;</w:t>
      </w:r>
    </w:p>
    <w:p w14:paraId="2A0286F9" w14:textId="77777777" w:rsidR="008A45BC" w:rsidRDefault="00B4365F" w:rsidP="005C5702">
      <w:pPr>
        <w:numPr>
          <w:ilvl w:val="1"/>
          <w:numId w:val="9"/>
        </w:numPr>
        <w:spacing w:after="120"/>
        <w:ind w:left="993" w:hanging="709"/>
        <w:rPr>
          <w:rFonts w:cs="Arial"/>
          <w:szCs w:val="20"/>
        </w:rPr>
      </w:pPr>
      <w:r w:rsidRPr="008A45BC">
        <w:rPr>
          <w:color w:val="000000" w:themeColor="text1"/>
          <w:szCs w:val="20"/>
        </w:rPr>
        <w:t>ICMM Sustainable Development Framework and Assurance Standard</w:t>
      </w:r>
    </w:p>
    <w:p w14:paraId="64A26A13" w14:textId="77777777" w:rsidR="008A45BC" w:rsidRDefault="00B4365F" w:rsidP="005C5702">
      <w:pPr>
        <w:numPr>
          <w:ilvl w:val="1"/>
          <w:numId w:val="9"/>
        </w:numPr>
        <w:spacing w:after="120"/>
        <w:ind w:left="993" w:hanging="709"/>
        <w:rPr>
          <w:rFonts w:cs="Arial"/>
          <w:szCs w:val="20"/>
        </w:rPr>
      </w:pPr>
      <w:r w:rsidRPr="008A45BC">
        <w:rPr>
          <w:color w:val="000000" w:themeColor="text1"/>
          <w:szCs w:val="20"/>
        </w:rPr>
        <w:t xml:space="preserve">ESP factors in stock exchange sustainability indices and reporting; </w:t>
      </w:r>
      <w:r w:rsidRPr="008A45BC">
        <w:rPr>
          <w:color w:val="000000" w:themeColor="text1"/>
        </w:rPr>
        <w:t>and</w:t>
      </w:r>
    </w:p>
    <w:p w14:paraId="5ED34B47" w14:textId="2457302B" w:rsidR="008A45BC" w:rsidRPr="008A45BC" w:rsidRDefault="00B4365F" w:rsidP="005C5702">
      <w:pPr>
        <w:numPr>
          <w:ilvl w:val="1"/>
          <w:numId w:val="9"/>
        </w:numPr>
        <w:spacing w:after="120"/>
        <w:ind w:left="993" w:hanging="709"/>
        <w:rPr>
          <w:rFonts w:cs="Arial"/>
          <w:szCs w:val="20"/>
        </w:rPr>
      </w:pPr>
      <w:r w:rsidRPr="008A45BC">
        <w:rPr>
          <w:color w:val="000000" w:themeColor="text1"/>
        </w:rPr>
        <w:t>ESP in annual sustainability reporting consistent with the Global Reporting Initiative (GRI)</w:t>
      </w:r>
      <w:r w:rsidR="005C5702">
        <w:rPr>
          <w:color w:val="000000" w:themeColor="text1"/>
        </w:rPr>
        <w:t>.</w:t>
      </w:r>
    </w:p>
    <w:p w14:paraId="2F7883FB" w14:textId="77777777" w:rsidR="008A45BC" w:rsidRPr="008A45BC" w:rsidRDefault="008A45BC" w:rsidP="008A45BC">
      <w:pPr>
        <w:spacing w:after="0"/>
        <w:ind w:left="284"/>
        <w:rPr>
          <w:rFonts w:cs="Arial"/>
          <w:szCs w:val="20"/>
        </w:rPr>
      </w:pPr>
    </w:p>
    <w:p w14:paraId="242FE377" w14:textId="77777777" w:rsidR="008A45BC" w:rsidRDefault="00B4365F" w:rsidP="008A45BC">
      <w:pPr>
        <w:numPr>
          <w:ilvl w:val="0"/>
          <w:numId w:val="9"/>
        </w:numPr>
        <w:spacing w:after="120"/>
        <w:rPr>
          <w:rFonts w:cs="Arial"/>
          <w:szCs w:val="20"/>
        </w:rPr>
      </w:pPr>
      <w:r w:rsidRPr="008A45BC">
        <w:rPr>
          <w:i/>
          <w:iCs/>
          <w:szCs w:val="20"/>
          <w:u w:val="single"/>
        </w:rPr>
        <w:t xml:space="preserve">Workplace and community health, safety and security. </w:t>
      </w:r>
      <w:r w:rsidRPr="008A45BC">
        <w:rPr>
          <w:szCs w:val="20"/>
        </w:rPr>
        <w:t xml:space="preserve">Aligning and managing ESP work within a safety-oriented culture and enterprise </w:t>
      </w:r>
      <w:r w:rsidRPr="008A45BC">
        <w:rPr>
          <w:iCs/>
          <w:color w:val="000000" w:themeColor="text1"/>
        </w:rPr>
        <w:t>health, safety</w:t>
      </w:r>
      <w:r w:rsidRPr="008A45BC">
        <w:rPr>
          <w:iCs/>
          <w:color w:val="000000" w:themeColor="text1"/>
          <w:spacing w:val="-4"/>
        </w:rPr>
        <w:t xml:space="preserve"> and security systems</w:t>
      </w:r>
      <w:r w:rsidR="009D573F" w:rsidRPr="008A45BC">
        <w:rPr>
          <w:iCs/>
          <w:color w:val="000000" w:themeColor="text1"/>
          <w:spacing w:val="-4"/>
        </w:rPr>
        <w:t>, including mental health considerations.</w:t>
      </w:r>
      <w:r w:rsidRPr="008A45BC">
        <w:rPr>
          <w:iCs/>
          <w:color w:val="000000" w:themeColor="text1"/>
          <w:spacing w:val="-4"/>
        </w:rPr>
        <w:t xml:space="preserve"> </w:t>
      </w:r>
      <w:r w:rsidRPr="008A45BC">
        <w:rPr>
          <w:szCs w:val="20"/>
        </w:rPr>
        <w:t xml:space="preserve">Competency indicators include: </w:t>
      </w:r>
    </w:p>
    <w:p w14:paraId="034A64BB" w14:textId="77777777" w:rsidR="008A45BC" w:rsidRDefault="00B4365F" w:rsidP="005C5702">
      <w:pPr>
        <w:numPr>
          <w:ilvl w:val="1"/>
          <w:numId w:val="9"/>
        </w:numPr>
        <w:spacing w:after="120"/>
        <w:ind w:left="993" w:hanging="709"/>
        <w:rPr>
          <w:rFonts w:cs="Arial"/>
          <w:szCs w:val="20"/>
        </w:rPr>
      </w:pPr>
      <w:r w:rsidRPr="008A45BC">
        <w:rPr>
          <w:color w:val="000000" w:themeColor="text1"/>
        </w:rPr>
        <w:t>contributing to workplace, supply chain and community health, safety and security risk</w:t>
      </w:r>
      <w:r w:rsidRPr="008A45BC">
        <w:rPr>
          <w:color w:val="000000" w:themeColor="text1"/>
          <w:spacing w:val="4"/>
        </w:rPr>
        <w:t xml:space="preserve"> </w:t>
      </w:r>
      <w:r w:rsidRPr="008A45BC">
        <w:rPr>
          <w:color w:val="000000" w:themeColor="text1"/>
        </w:rPr>
        <w:t>assessments;</w:t>
      </w:r>
    </w:p>
    <w:p w14:paraId="27D1F0A6" w14:textId="77777777" w:rsidR="008A45BC" w:rsidRDefault="00B4365F" w:rsidP="005C5702">
      <w:pPr>
        <w:numPr>
          <w:ilvl w:val="1"/>
          <w:numId w:val="9"/>
        </w:numPr>
        <w:spacing w:after="120"/>
        <w:ind w:left="993" w:hanging="709"/>
        <w:rPr>
          <w:rFonts w:cs="Arial"/>
          <w:szCs w:val="20"/>
        </w:rPr>
      </w:pPr>
      <w:r w:rsidRPr="008A45BC">
        <w:rPr>
          <w:color w:val="000000" w:themeColor="text1"/>
        </w:rPr>
        <w:t>contributing to workplace, supply chain and community hazard identification and mitigation;</w:t>
      </w:r>
    </w:p>
    <w:p w14:paraId="4ABFC685" w14:textId="77777777" w:rsidR="008A45BC" w:rsidRDefault="00B4365F" w:rsidP="005C5702">
      <w:pPr>
        <w:numPr>
          <w:ilvl w:val="1"/>
          <w:numId w:val="9"/>
        </w:numPr>
        <w:spacing w:after="120"/>
        <w:ind w:left="993" w:hanging="709"/>
        <w:rPr>
          <w:rFonts w:cs="Arial"/>
          <w:szCs w:val="20"/>
        </w:rPr>
      </w:pPr>
      <w:r w:rsidRPr="008A45BC">
        <w:rPr>
          <w:color w:val="000000" w:themeColor="text1"/>
        </w:rPr>
        <w:t>familiarity and compliance with health, safety and security controls;</w:t>
      </w:r>
    </w:p>
    <w:p w14:paraId="38A7D439" w14:textId="77777777" w:rsidR="008A45BC" w:rsidRDefault="00B4365F" w:rsidP="005C5702">
      <w:pPr>
        <w:numPr>
          <w:ilvl w:val="1"/>
          <w:numId w:val="9"/>
        </w:numPr>
        <w:spacing w:after="120"/>
        <w:ind w:left="993" w:hanging="709"/>
        <w:rPr>
          <w:rFonts w:cs="Arial"/>
          <w:szCs w:val="20"/>
        </w:rPr>
      </w:pPr>
      <w:r w:rsidRPr="008A45BC">
        <w:rPr>
          <w:color w:val="000000" w:themeColor="text1"/>
        </w:rPr>
        <w:t>effectively monitoring of ESP-related health, safety and security matters;</w:t>
      </w:r>
      <w:r w:rsidRPr="008A45BC">
        <w:rPr>
          <w:color w:val="000000" w:themeColor="text1"/>
          <w:spacing w:val="-20"/>
        </w:rPr>
        <w:t xml:space="preserve"> </w:t>
      </w:r>
      <w:r w:rsidRPr="008A45BC">
        <w:rPr>
          <w:color w:val="000000" w:themeColor="text1"/>
        </w:rPr>
        <w:t>and</w:t>
      </w:r>
    </w:p>
    <w:p w14:paraId="09BD40D0" w14:textId="59A4949D" w:rsidR="008A45BC" w:rsidRPr="008A45BC" w:rsidRDefault="00B4365F" w:rsidP="005C5702">
      <w:pPr>
        <w:numPr>
          <w:ilvl w:val="1"/>
          <w:numId w:val="9"/>
        </w:numPr>
        <w:spacing w:after="120"/>
        <w:ind w:left="993" w:hanging="709"/>
        <w:rPr>
          <w:rFonts w:cs="Arial"/>
          <w:szCs w:val="20"/>
        </w:rPr>
      </w:pPr>
      <w:r w:rsidRPr="008A45BC">
        <w:rPr>
          <w:color w:val="000000" w:themeColor="text1"/>
        </w:rPr>
        <w:t xml:space="preserve">ability to participate in root cause analysis </w:t>
      </w:r>
      <w:r w:rsidRPr="008A45BC">
        <w:rPr>
          <w:color w:val="000000" w:themeColor="text1"/>
          <w:spacing w:val="-2"/>
        </w:rPr>
        <w:t>of ESP-related health and safety incidents.</w:t>
      </w:r>
    </w:p>
    <w:sectPr w:rsidR="008A45BC" w:rsidRPr="008A45BC" w:rsidSect="00C90DC0">
      <w:footerReference w:type="default" r:id="rId9"/>
      <w:pgSz w:w="16840" w:h="11900" w:orient="landscape"/>
      <w:pgMar w:top="1135" w:right="1080" w:bottom="1276" w:left="1080" w:header="0" w:footer="5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39EA" w14:textId="77777777" w:rsidR="00394AEB" w:rsidRDefault="00394AEB">
      <w:pPr>
        <w:spacing w:after="0" w:line="240" w:lineRule="auto"/>
      </w:pPr>
      <w:r>
        <w:separator/>
      </w:r>
    </w:p>
  </w:endnote>
  <w:endnote w:type="continuationSeparator" w:id="0">
    <w:p w14:paraId="6773D615" w14:textId="77777777" w:rsidR="00394AEB" w:rsidRDefault="0039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511020"/>
      <w:docPartObj>
        <w:docPartGallery w:val="Page Numbers (Bottom of Page)"/>
        <w:docPartUnique/>
      </w:docPartObj>
    </w:sdtPr>
    <w:sdtEndPr>
      <w:rPr>
        <w:noProof/>
      </w:rPr>
    </w:sdtEndPr>
    <w:sdtContent>
      <w:p w14:paraId="3F5B3A0F" w14:textId="77777777" w:rsidR="00C65A2C" w:rsidRDefault="00C65A2C">
        <w:pPr>
          <w:pStyle w:val="Footer"/>
          <w:jc w:val="right"/>
        </w:pPr>
        <w:r>
          <w:fldChar w:fldCharType="begin"/>
        </w:r>
        <w:r>
          <w:instrText xml:space="preserve"> PAGE   \* MERGEFORMAT </w:instrText>
        </w:r>
        <w:r>
          <w:fldChar w:fldCharType="separate"/>
        </w:r>
        <w:r w:rsidR="008B7E31">
          <w:rPr>
            <w:noProof/>
          </w:rPr>
          <w:t>4</w:t>
        </w:r>
        <w:r>
          <w:rPr>
            <w:noProof/>
          </w:rPr>
          <w:fldChar w:fldCharType="end"/>
        </w:r>
      </w:p>
    </w:sdtContent>
  </w:sdt>
  <w:p w14:paraId="29CF1CFB" w14:textId="77777777" w:rsidR="006410DD" w:rsidRDefault="006410DD">
    <w:pPr>
      <w:spacing w:after="0"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30D1" w14:textId="77777777" w:rsidR="00394AEB" w:rsidRDefault="00394AEB">
      <w:pPr>
        <w:spacing w:after="0" w:line="240" w:lineRule="auto"/>
      </w:pPr>
      <w:r>
        <w:separator/>
      </w:r>
    </w:p>
  </w:footnote>
  <w:footnote w:type="continuationSeparator" w:id="0">
    <w:p w14:paraId="0F1F893F" w14:textId="77777777" w:rsidR="00394AEB" w:rsidRDefault="00394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20E"/>
    <w:multiLevelType w:val="multilevel"/>
    <w:tmpl w:val="F12A6784"/>
    <w:lvl w:ilvl="0">
      <w:start w:val="1"/>
      <w:numFmt w:val="decimal"/>
      <w:lvlText w:val="%1."/>
      <w:lvlJc w:val="left"/>
      <w:pPr>
        <w:ind w:left="720" w:hanging="360"/>
      </w:pPr>
      <w:rPr>
        <w:rFonts w:hint="default"/>
      </w:rPr>
    </w:lvl>
    <w:lvl w:ilvl="1">
      <w:start w:val="1"/>
      <w:numFmt w:val="bullet"/>
      <w:lvlText w:val="–"/>
      <w:lvlJc w:val="left"/>
      <w:pPr>
        <w:ind w:left="786" w:hanging="360"/>
      </w:pPr>
      <w:rPr>
        <w:rFonts w:ascii="Courier New" w:hAnsi="Courier New" w:hint="default"/>
        <w:i/>
      </w:rPr>
    </w:lvl>
    <w:lvl w:ilvl="2">
      <w:start w:val="1"/>
      <w:numFmt w:val="decimal"/>
      <w:lvlText w:val="%1.%2.%3"/>
      <w:lvlJc w:val="left"/>
      <w:pPr>
        <w:ind w:left="1212" w:hanging="720"/>
      </w:pPr>
      <w:rPr>
        <w:i/>
      </w:rPr>
    </w:lvl>
    <w:lvl w:ilvl="3">
      <w:start w:val="1"/>
      <w:numFmt w:val="decimal"/>
      <w:lvlText w:val="%1.%2.%3.%4"/>
      <w:lvlJc w:val="left"/>
      <w:pPr>
        <w:ind w:left="1278" w:hanging="720"/>
      </w:pPr>
      <w:rPr>
        <w:i/>
      </w:rPr>
    </w:lvl>
    <w:lvl w:ilvl="4">
      <w:start w:val="1"/>
      <w:numFmt w:val="decimal"/>
      <w:lvlText w:val="%1.%2.%3.%4.%5"/>
      <w:lvlJc w:val="left"/>
      <w:pPr>
        <w:ind w:left="1704" w:hanging="1080"/>
      </w:pPr>
      <w:rPr>
        <w:i/>
      </w:rPr>
    </w:lvl>
    <w:lvl w:ilvl="5">
      <w:start w:val="1"/>
      <w:numFmt w:val="decimal"/>
      <w:lvlText w:val="%1.%2.%3.%4.%5.%6"/>
      <w:lvlJc w:val="left"/>
      <w:pPr>
        <w:ind w:left="1770" w:hanging="1080"/>
      </w:pPr>
      <w:rPr>
        <w:i/>
      </w:rPr>
    </w:lvl>
    <w:lvl w:ilvl="6">
      <w:start w:val="1"/>
      <w:numFmt w:val="decimal"/>
      <w:lvlText w:val="%1.%2.%3.%4.%5.%6.%7"/>
      <w:lvlJc w:val="left"/>
      <w:pPr>
        <w:ind w:left="2196" w:hanging="1440"/>
      </w:pPr>
      <w:rPr>
        <w:i/>
      </w:rPr>
    </w:lvl>
    <w:lvl w:ilvl="7">
      <w:start w:val="1"/>
      <w:numFmt w:val="decimal"/>
      <w:lvlText w:val="%1.%2.%3.%4.%5.%6.%7.%8"/>
      <w:lvlJc w:val="left"/>
      <w:pPr>
        <w:ind w:left="2262" w:hanging="1440"/>
      </w:pPr>
      <w:rPr>
        <w:i/>
      </w:rPr>
    </w:lvl>
    <w:lvl w:ilvl="8">
      <w:start w:val="1"/>
      <w:numFmt w:val="decimal"/>
      <w:lvlText w:val="%1.%2.%3.%4.%5.%6.%7.%8.%9"/>
      <w:lvlJc w:val="left"/>
      <w:pPr>
        <w:ind w:left="2688" w:hanging="1800"/>
      </w:pPr>
      <w:rPr>
        <w:i/>
      </w:rPr>
    </w:lvl>
  </w:abstractNum>
  <w:abstractNum w:abstractNumId="1" w15:restartNumberingAfterBreak="0">
    <w:nsid w:val="023C54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328CD"/>
    <w:multiLevelType w:val="hybridMultilevel"/>
    <w:tmpl w:val="F7587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517362"/>
    <w:multiLevelType w:val="multilevel"/>
    <w:tmpl w:val="72BC0730"/>
    <w:lvl w:ilvl="0">
      <w:start w:val="1"/>
      <w:numFmt w:val="decimal"/>
      <w:lvlText w:val="%1."/>
      <w:lvlJc w:val="left"/>
      <w:pPr>
        <w:ind w:left="720" w:hanging="360"/>
      </w:pPr>
      <w:rPr>
        <w:rFonts w:hint="default"/>
      </w:rPr>
    </w:lvl>
    <w:lvl w:ilvl="1">
      <w:start w:val="1"/>
      <w:numFmt w:val="bullet"/>
      <w:lvlText w:val="–"/>
      <w:lvlJc w:val="left"/>
      <w:pPr>
        <w:ind w:left="786" w:hanging="360"/>
      </w:pPr>
      <w:rPr>
        <w:rFonts w:ascii="Courier New" w:hAnsi="Courier New" w:hint="default"/>
        <w:i/>
      </w:rPr>
    </w:lvl>
    <w:lvl w:ilvl="2">
      <w:start w:val="1"/>
      <w:numFmt w:val="decimal"/>
      <w:lvlText w:val="%1.%2.%3"/>
      <w:lvlJc w:val="left"/>
      <w:pPr>
        <w:ind w:left="1212" w:hanging="720"/>
      </w:pPr>
      <w:rPr>
        <w:i/>
      </w:rPr>
    </w:lvl>
    <w:lvl w:ilvl="3">
      <w:start w:val="1"/>
      <w:numFmt w:val="decimal"/>
      <w:lvlText w:val="%1.%2.%3.%4"/>
      <w:lvlJc w:val="left"/>
      <w:pPr>
        <w:ind w:left="1278" w:hanging="720"/>
      </w:pPr>
      <w:rPr>
        <w:i/>
      </w:rPr>
    </w:lvl>
    <w:lvl w:ilvl="4">
      <w:start w:val="1"/>
      <w:numFmt w:val="decimal"/>
      <w:lvlText w:val="%1.%2.%3.%4.%5"/>
      <w:lvlJc w:val="left"/>
      <w:pPr>
        <w:ind w:left="1704" w:hanging="1080"/>
      </w:pPr>
      <w:rPr>
        <w:i/>
      </w:rPr>
    </w:lvl>
    <w:lvl w:ilvl="5">
      <w:start w:val="1"/>
      <w:numFmt w:val="decimal"/>
      <w:lvlText w:val="%1.%2.%3.%4.%5.%6"/>
      <w:lvlJc w:val="left"/>
      <w:pPr>
        <w:ind w:left="1770" w:hanging="1080"/>
      </w:pPr>
      <w:rPr>
        <w:i/>
      </w:rPr>
    </w:lvl>
    <w:lvl w:ilvl="6">
      <w:start w:val="1"/>
      <w:numFmt w:val="decimal"/>
      <w:lvlText w:val="%1.%2.%3.%4.%5.%6.%7"/>
      <w:lvlJc w:val="left"/>
      <w:pPr>
        <w:ind w:left="2196" w:hanging="1440"/>
      </w:pPr>
      <w:rPr>
        <w:i/>
      </w:rPr>
    </w:lvl>
    <w:lvl w:ilvl="7">
      <w:start w:val="1"/>
      <w:numFmt w:val="decimal"/>
      <w:lvlText w:val="%1.%2.%3.%4.%5.%6.%7.%8"/>
      <w:lvlJc w:val="left"/>
      <w:pPr>
        <w:ind w:left="2262" w:hanging="1440"/>
      </w:pPr>
      <w:rPr>
        <w:i/>
      </w:rPr>
    </w:lvl>
    <w:lvl w:ilvl="8">
      <w:start w:val="1"/>
      <w:numFmt w:val="decimal"/>
      <w:lvlText w:val="%1.%2.%3.%4.%5.%6.%7.%8.%9"/>
      <w:lvlJc w:val="left"/>
      <w:pPr>
        <w:ind w:left="2688" w:hanging="1800"/>
      </w:pPr>
      <w:rPr>
        <w:i/>
      </w:rPr>
    </w:lvl>
  </w:abstractNum>
  <w:abstractNum w:abstractNumId="4" w15:restartNumberingAfterBreak="0">
    <w:nsid w:val="07A57349"/>
    <w:multiLevelType w:val="multilevel"/>
    <w:tmpl w:val="35AEC75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670732"/>
    <w:multiLevelType w:val="multilevel"/>
    <w:tmpl w:val="0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7B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B27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EB1B2B"/>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FF6263"/>
    <w:multiLevelType w:val="multilevel"/>
    <w:tmpl w:val="6268A184"/>
    <w:lvl w:ilvl="0">
      <w:start w:val="2"/>
      <w:numFmt w:val="decimal"/>
      <w:lvlText w:val="%1"/>
      <w:lvlJc w:val="left"/>
      <w:pPr>
        <w:ind w:left="360" w:hanging="360"/>
      </w:pPr>
      <w:rPr>
        <w:rFonts w:hint="default"/>
        <w:sz w:val="20"/>
      </w:rPr>
    </w:lvl>
    <w:lvl w:ilvl="1">
      <w:start w:val="1"/>
      <w:numFmt w:val="bullet"/>
      <w:lvlText w:val="–"/>
      <w:lvlJc w:val="left"/>
      <w:pPr>
        <w:ind w:left="786" w:hanging="360"/>
      </w:pPr>
      <w:rPr>
        <w:rFonts w:ascii="Courier New" w:hAnsi="Courier New" w:hint="default"/>
        <w:i/>
        <w:iCs w:val="0"/>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10" w15:restartNumberingAfterBreak="0">
    <w:nsid w:val="12C00200"/>
    <w:multiLevelType w:val="hybridMultilevel"/>
    <w:tmpl w:val="64B26E14"/>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1371174E"/>
    <w:multiLevelType w:val="multilevel"/>
    <w:tmpl w:val="8E70D05A"/>
    <w:lvl w:ilvl="0">
      <w:start w:val="1"/>
      <w:numFmt w:val="decimal"/>
      <w:lvlText w:val="%1."/>
      <w:lvlJc w:val="left"/>
      <w:pPr>
        <w:ind w:left="720" w:hanging="360"/>
      </w:pPr>
      <w:rPr>
        <w:rFonts w:hint="default"/>
      </w:rPr>
    </w:lvl>
    <w:lvl w:ilvl="1">
      <w:start w:val="1"/>
      <w:numFmt w:val="bullet"/>
      <w:lvlText w:val="–"/>
      <w:lvlJc w:val="left"/>
      <w:pPr>
        <w:ind w:left="786" w:hanging="360"/>
      </w:pPr>
      <w:rPr>
        <w:rFonts w:ascii="Courier New" w:hAnsi="Courier New" w:hint="default"/>
        <w:i/>
      </w:rPr>
    </w:lvl>
    <w:lvl w:ilvl="2">
      <w:start w:val="1"/>
      <w:numFmt w:val="decimal"/>
      <w:lvlText w:val="%1.%2.%3"/>
      <w:lvlJc w:val="left"/>
      <w:pPr>
        <w:ind w:left="1212" w:hanging="720"/>
      </w:pPr>
      <w:rPr>
        <w:i/>
      </w:rPr>
    </w:lvl>
    <w:lvl w:ilvl="3">
      <w:start w:val="1"/>
      <w:numFmt w:val="decimal"/>
      <w:lvlText w:val="%1.%2.%3.%4"/>
      <w:lvlJc w:val="left"/>
      <w:pPr>
        <w:ind w:left="1278" w:hanging="720"/>
      </w:pPr>
      <w:rPr>
        <w:i/>
      </w:rPr>
    </w:lvl>
    <w:lvl w:ilvl="4">
      <w:start w:val="1"/>
      <w:numFmt w:val="decimal"/>
      <w:lvlText w:val="%1.%2.%3.%4.%5"/>
      <w:lvlJc w:val="left"/>
      <w:pPr>
        <w:ind w:left="1704" w:hanging="1080"/>
      </w:pPr>
      <w:rPr>
        <w:i/>
      </w:rPr>
    </w:lvl>
    <w:lvl w:ilvl="5">
      <w:start w:val="1"/>
      <w:numFmt w:val="decimal"/>
      <w:lvlText w:val="%1.%2.%3.%4.%5.%6"/>
      <w:lvlJc w:val="left"/>
      <w:pPr>
        <w:ind w:left="1770" w:hanging="1080"/>
      </w:pPr>
      <w:rPr>
        <w:i/>
      </w:rPr>
    </w:lvl>
    <w:lvl w:ilvl="6">
      <w:start w:val="1"/>
      <w:numFmt w:val="decimal"/>
      <w:lvlText w:val="%1.%2.%3.%4.%5.%6.%7"/>
      <w:lvlJc w:val="left"/>
      <w:pPr>
        <w:ind w:left="2196" w:hanging="1440"/>
      </w:pPr>
      <w:rPr>
        <w:i/>
      </w:rPr>
    </w:lvl>
    <w:lvl w:ilvl="7">
      <w:start w:val="1"/>
      <w:numFmt w:val="decimal"/>
      <w:lvlText w:val="%1.%2.%3.%4.%5.%6.%7.%8"/>
      <w:lvlJc w:val="left"/>
      <w:pPr>
        <w:ind w:left="2262" w:hanging="1440"/>
      </w:pPr>
      <w:rPr>
        <w:i/>
      </w:rPr>
    </w:lvl>
    <w:lvl w:ilvl="8">
      <w:start w:val="1"/>
      <w:numFmt w:val="decimal"/>
      <w:lvlText w:val="%1.%2.%3.%4.%5.%6.%7.%8.%9"/>
      <w:lvlJc w:val="left"/>
      <w:pPr>
        <w:ind w:left="2688" w:hanging="1800"/>
      </w:pPr>
      <w:rPr>
        <w:i/>
      </w:rPr>
    </w:lvl>
  </w:abstractNum>
  <w:abstractNum w:abstractNumId="12" w15:restartNumberingAfterBreak="0">
    <w:nsid w:val="177D4E7E"/>
    <w:multiLevelType w:val="hybridMultilevel"/>
    <w:tmpl w:val="11AEBD4A"/>
    <w:lvl w:ilvl="0" w:tplc="A27E4414">
      <w:start w:val="1"/>
      <w:numFmt w:val="decimal"/>
      <w:lvlText w:val="%1."/>
      <w:lvlJc w:val="left"/>
      <w:pPr>
        <w:ind w:left="3196" w:hanging="360"/>
      </w:pPr>
      <w:rPr>
        <w:rFonts w:hint="default"/>
      </w:rPr>
    </w:lvl>
    <w:lvl w:ilvl="1" w:tplc="A27E4414">
      <w:start w:val="1"/>
      <w:numFmt w:val="decimal"/>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19F16F67"/>
    <w:multiLevelType w:val="multilevel"/>
    <w:tmpl w:val="11EA9508"/>
    <w:lvl w:ilvl="0">
      <w:start w:val="2"/>
      <w:numFmt w:val="decimal"/>
      <w:lvlText w:val="%1"/>
      <w:lvlJc w:val="left"/>
      <w:pPr>
        <w:ind w:left="360" w:hanging="360"/>
      </w:pPr>
      <w:rPr>
        <w:rFonts w:hint="default"/>
        <w:sz w:val="20"/>
      </w:rPr>
    </w:lvl>
    <w:lvl w:ilvl="1">
      <w:start w:val="1"/>
      <w:numFmt w:val="bullet"/>
      <w:lvlText w:val="–"/>
      <w:lvlJc w:val="left"/>
      <w:pPr>
        <w:ind w:left="786" w:hanging="360"/>
      </w:pPr>
      <w:rPr>
        <w:rFonts w:ascii="Courier New" w:hAnsi="Courier New" w:hint="default"/>
        <w:i/>
        <w:iCs w:val="0"/>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14" w15:restartNumberingAfterBreak="0">
    <w:nsid w:val="1B583613"/>
    <w:multiLevelType w:val="hybridMultilevel"/>
    <w:tmpl w:val="7354D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BAD7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B800D9"/>
    <w:multiLevelType w:val="multilevel"/>
    <w:tmpl w:val="6B8C700E"/>
    <w:lvl w:ilvl="0">
      <w:start w:val="2"/>
      <w:numFmt w:val="decimal"/>
      <w:lvlText w:val="%1"/>
      <w:lvlJc w:val="left"/>
      <w:pPr>
        <w:ind w:left="360" w:hanging="360"/>
      </w:pPr>
      <w:rPr>
        <w:rFonts w:hint="default"/>
        <w:sz w:val="20"/>
      </w:rPr>
    </w:lvl>
    <w:lvl w:ilvl="1">
      <w:start w:val="1"/>
      <w:numFmt w:val="bullet"/>
      <w:lvlText w:val="–"/>
      <w:lvlJc w:val="left"/>
      <w:pPr>
        <w:ind w:left="786" w:hanging="360"/>
      </w:pPr>
      <w:rPr>
        <w:rFonts w:ascii="Courier New" w:hAnsi="Courier New" w:hint="default"/>
        <w:i/>
        <w:iCs w:val="0"/>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17" w15:restartNumberingAfterBreak="0">
    <w:nsid w:val="20230B11"/>
    <w:multiLevelType w:val="multilevel"/>
    <w:tmpl w:val="9E56EF8A"/>
    <w:lvl w:ilvl="0">
      <w:start w:val="2"/>
      <w:numFmt w:val="decimal"/>
      <w:lvlText w:val="%1"/>
      <w:lvlJc w:val="left"/>
      <w:pPr>
        <w:ind w:left="360" w:hanging="360"/>
      </w:pPr>
      <w:rPr>
        <w:rFonts w:hint="default"/>
        <w:sz w:val="20"/>
      </w:rPr>
    </w:lvl>
    <w:lvl w:ilvl="1">
      <w:start w:val="1"/>
      <w:numFmt w:val="bullet"/>
      <w:lvlText w:val="–"/>
      <w:lvlJc w:val="left"/>
      <w:pPr>
        <w:ind w:left="786" w:hanging="360"/>
      </w:pPr>
      <w:rPr>
        <w:rFonts w:ascii="Courier New" w:hAnsi="Courier New" w:hint="default"/>
        <w:i/>
        <w:iCs w:val="0"/>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18" w15:restartNumberingAfterBreak="0">
    <w:nsid w:val="21C370F9"/>
    <w:multiLevelType w:val="hybridMultilevel"/>
    <w:tmpl w:val="45B45C56"/>
    <w:lvl w:ilvl="0" w:tplc="A27E441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289474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36724B"/>
    <w:multiLevelType w:val="multilevel"/>
    <w:tmpl w:val="CD2EDDFE"/>
    <w:lvl w:ilvl="0">
      <w:start w:val="2"/>
      <w:numFmt w:val="decimal"/>
      <w:lvlText w:val="%1"/>
      <w:lvlJc w:val="left"/>
      <w:pPr>
        <w:ind w:left="360" w:hanging="360"/>
      </w:pPr>
      <w:rPr>
        <w:rFonts w:hint="default"/>
        <w:sz w:val="20"/>
      </w:rPr>
    </w:lvl>
    <w:lvl w:ilvl="1">
      <w:start w:val="1"/>
      <w:numFmt w:val="bullet"/>
      <w:lvlText w:val="–"/>
      <w:lvlJc w:val="left"/>
      <w:pPr>
        <w:ind w:left="786" w:hanging="360"/>
      </w:pPr>
      <w:rPr>
        <w:rFonts w:ascii="Courier New" w:hAnsi="Courier New" w:hint="default"/>
        <w:i/>
        <w:iCs w:val="0"/>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21" w15:restartNumberingAfterBreak="0">
    <w:nsid w:val="2CF56546"/>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15:restartNumberingAfterBreak="0">
    <w:nsid w:val="32146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DC4FBC"/>
    <w:multiLevelType w:val="multilevel"/>
    <w:tmpl w:val="32BEFD10"/>
    <w:lvl w:ilvl="0">
      <w:start w:val="8"/>
      <w:numFmt w:val="decimal"/>
      <w:lvlText w:val="%1"/>
      <w:lvlJc w:val="left"/>
      <w:pPr>
        <w:ind w:left="360" w:hanging="360"/>
      </w:pPr>
      <w:rPr>
        <w:rFonts w:hint="default"/>
      </w:rPr>
    </w:lvl>
    <w:lvl w:ilvl="1">
      <w:start w:val="1"/>
      <w:numFmt w:val="bullet"/>
      <w:lvlText w:val="–"/>
      <w:lvlJc w:val="left"/>
      <w:pPr>
        <w:ind w:left="786" w:hanging="360"/>
      </w:pPr>
      <w:rPr>
        <w:rFonts w:ascii="Courier New" w:hAnsi="Courier New"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34887C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4726"/>
    <w:multiLevelType w:val="hybridMultilevel"/>
    <w:tmpl w:val="A59CD7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8716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31526D"/>
    <w:multiLevelType w:val="hybridMultilevel"/>
    <w:tmpl w:val="1F5C7964"/>
    <w:lvl w:ilvl="0" w:tplc="345888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0B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63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60B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E646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FD77DB"/>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 w15:restartNumberingAfterBreak="0">
    <w:nsid w:val="48757C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B308A2"/>
    <w:multiLevelType w:val="multilevel"/>
    <w:tmpl w:val="C05060CE"/>
    <w:lvl w:ilvl="0">
      <w:start w:val="1"/>
      <w:numFmt w:val="decimal"/>
      <w:lvlText w:val="%1."/>
      <w:lvlJc w:val="left"/>
      <w:pPr>
        <w:ind w:left="720" w:hanging="360"/>
      </w:pPr>
      <w:rPr>
        <w:rFonts w:hint="default"/>
      </w:rPr>
    </w:lvl>
    <w:lvl w:ilvl="1">
      <w:start w:val="1"/>
      <w:numFmt w:val="bullet"/>
      <w:lvlText w:val="–"/>
      <w:lvlJc w:val="left"/>
      <w:pPr>
        <w:ind w:left="786" w:hanging="360"/>
      </w:pPr>
      <w:rPr>
        <w:rFonts w:ascii="Courier New" w:hAnsi="Courier New" w:hint="default"/>
        <w:i/>
      </w:rPr>
    </w:lvl>
    <w:lvl w:ilvl="2">
      <w:start w:val="1"/>
      <w:numFmt w:val="decimal"/>
      <w:lvlText w:val="%1.%2.%3"/>
      <w:lvlJc w:val="left"/>
      <w:pPr>
        <w:ind w:left="1212" w:hanging="720"/>
      </w:pPr>
      <w:rPr>
        <w:i/>
      </w:rPr>
    </w:lvl>
    <w:lvl w:ilvl="3">
      <w:start w:val="1"/>
      <w:numFmt w:val="decimal"/>
      <w:lvlText w:val="%1.%2.%3.%4"/>
      <w:lvlJc w:val="left"/>
      <w:pPr>
        <w:ind w:left="1278" w:hanging="720"/>
      </w:pPr>
      <w:rPr>
        <w:i/>
      </w:rPr>
    </w:lvl>
    <w:lvl w:ilvl="4">
      <w:start w:val="1"/>
      <w:numFmt w:val="decimal"/>
      <w:lvlText w:val="%1.%2.%3.%4.%5"/>
      <w:lvlJc w:val="left"/>
      <w:pPr>
        <w:ind w:left="1704" w:hanging="1080"/>
      </w:pPr>
      <w:rPr>
        <w:i/>
      </w:rPr>
    </w:lvl>
    <w:lvl w:ilvl="5">
      <w:start w:val="1"/>
      <w:numFmt w:val="decimal"/>
      <w:lvlText w:val="%1.%2.%3.%4.%5.%6"/>
      <w:lvlJc w:val="left"/>
      <w:pPr>
        <w:ind w:left="1770" w:hanging="1080"/>
      </w:pPr>
      <w:rPr>
        <w:i/>
      </w:rPr>
    </w:lvl>
    <w:lvl w:ilvl="6">
      <w:start w:val="1"/>
      <w:numFmt w:val="decimal"/>
      <w:lvlText w:val="%1.%2.%3.%4.%5.%6.%7"/>
      <w:lvlJc w:val="left"/>
      <w:pPr>
        <w:ind w:left="2196" w:hanging="1440"/>
      </w:pPr>
      <w:rPr>
        <w:i/>
      </w:rPr>
    </w:lvl>
    <w:lvl w:ilvl="7">
      <w:start w:val="1"/>
      <w:numFmt w:val="decimal"/>
      <w:lvlText w:val="%1.%2.%3.%4.%5.%6.%7.%8"/>
      <w:lvlJc w:val="left"/>
      <w:pPr>
        <w:ind w:left="2262" w:hanging="1440"/>
      </w:pPr>
      <w:rPr>
        <w:i/>
      </w:rPr>
    </w:lvl>
    <w:lvl w:ilvl="8">
      <w:start w:val="1"/>
      <w:numFmt w:val="decimal"/>
      <w:lvlText w:val="%1.%2.%3.%4.%5.%6.%7.%8.%9"/>
      <w:lvlJc w:val="left"/>
      <w:pPr>
        <w:ind w:left="2688" w:hanging="1800"/>
      </w:pPr>
      <w:rPr>
        <w:i/>
      </w:rPr>
    </w:lvl>
  </w:abstractNum>
  <w:abstractNum w:abstractNumId="35" w15:restartNumberingAfterBreak="0">
    <w:nsid w:val="58091D26"/>
    <w:multiLevelType w:val="multilevel"/>
    <w:tmpl w:val="C3A067C4"/>
    <w:lvl w:ilvl="0">
      <w:start w:val="2"/>
      <w:numFmt w:val="decimal"/>
      <w:lvlText w:val="%1"/>
      <w:lvlJc w:val="left"/>
      <w:pPr>
        <w:ind w:left="360" w:hanging="360"/>
      </w:pPr>
      <w:rPr>
        <w:rFonts w:hint="default"/>
        <w:sz w:val="20"/>
      </w:rPr>
    </w:lvl>
    <w:lvl w:ilvl="1">
      <w:start w:val="1"/>
      <w:numFmt w:val="bullet"/>
      <w:lvlText w:val="–"/>
      <w:lvlJc w:val="left"/>
      <w:pPr>
        <w:ind w:left="786" w:hanging="360"/>
      </w:pPr>
      <w:rPr>
        <w:rFonts w:ascii="Courier New" w:hAnsi="Courier New" w:hint="default"/>
        <w:i/>
        <w:iCs w:val="0"/>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36" w15:restartNumberingAfterBreak="0">
    <w:nsid w:val="68D5713E"/>
    <w:multiLevelType w:val="hybridMultilevel"/>
    <w:tmpl w:val="D0C006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1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4829D6"/>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6E2D63"/>
    <w:multiLevelType w:val="hybridMultilevel"/>
    <w:tmpl w:val="62B420A4"/>
    <w:lvl w:ilvl="0" w:tplc="04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BAE4091"/>
    <w:multiLevelType w:val="hybridMultilevel"/>
    <w:tmpl w:val="D3BC7B38"/>
    <w:lvl w:ilvl="0" w:tplc="905CA5C4">
      <w:numFmt w:val="bullet"/>
      <w:lvlText w:val="•"/>
      <w:lvlJc w:val="left"/>
      <w:pPr>
        <w:ind w:left="1778" w:hanging="360"/>
      </w:pPr>
      <w:rPr>
        <w:rFonts w:ascii="Swis721 BT" w:eastAsia="Swis721 BT" w:hAnsi="Swis721 BT" w:cs="Swis721 BT"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41" w15:restartNumberingAfterBreak="0">
    <w:nsid w:val="6C431751"/>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0526EA"/>
    <w:multiLevelType w:val="hybridMultilevel"/>
    <w:tmpl w:val="12B405AC"/>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3" w15:restartNumberingAfterBreak="0">
    <w:nsid w:val="701060EE"/>
    <w:multiLevelType w:val="multilevel"/>
    <w:tmpl w:val="A38CD16A"/>
    <w:lvl w:ilvl="0">
      <w:start w:val="1"/>
      <w:numFmt w:val="decimal"/>
      <w:lvlText w:val="%1"/>
      <w:lvlJc w:val="left"/>
      <w:pPr>
        <w:ind w:left="360" w:hanging="360"/>
      </w:pPr>
      <w:rPr>
        <w:rFonts w:hint="default"/>
      </w:rPr>
    </w:lvl>
    <w:lvl w:ilvl="1">
      <w:start w:val="1"/>
      <w:numFmt w:val="bullet"/>
      <w:lvlText w:val="–"/>
      <w:lvlJc w:val="left"/>
      <w:pPr>
        <w:ind w:left="928" w:hanging="360"/>
      </w:pPr>
      <w:rPr>
        <w:rFonts w:ascii="Courier New" w:hAnsi="Courier New"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07766D5"/>
    <w:multiLevelType w:val="multilevel"/>
    <w:tmpl w:val="A8AC541A"/>
    <w:lvl w:ilvl="0">
      <w:start w:val="9"/>
      <w:numFmt w:val="decimal"/>
      <w:lvlText w:val="%1"/>
      <w:lvlJc w:val="left"/>
      <w:pPr>
        <w:ind w:left="360" w:hanging="360"/>
      </w:pPr>
      <w:rPr>
        <w:rFonts w:hint="default"/>
      </w:rPr>
    </w:lvl>
    <w:lvl w:ilvl="1">
      <w:start w:val="1"/>
      <w:numFmt w:val="bullet"/>
      <w:lvlText w:val="–"/>
      <w:lvlJc w:val="left"/>
      <w:pPr>
        <w:ind w:left="786" w:hanging="360"/>
      </w:pPr>
      <w:rPr>
        <w:rFonts w:ascii="Courier New" w:hAnsi="Courier New"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08449A9"/>
    <w:multiLevelType w:val="hybridMultilevel"/>
    <w:tmpl w:val="38600FF0"/>
    <w:lvl w:ilvl="0" w:tplc="A27E4414">
      <w:start w:val="1"/>
      <w:numFmt w:val="decimal"/>
      <w:lvlText w:val="%1."/>
      <w:lvlJc w:val="left"/>
      <w:pPr>
        <w:ind w:left="3196"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6" w15:restartNumberingAfterBreak="0">
    <w:nsid w:val="72697513"/>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C042F4"/>
    <w:multiLevelType w:val="multilevel"/>
    <w:tmpl w:val="9FD4F022"/>
    <w:lvl w:ilvl="0">
      <w:start w:val="7"/>
      <w:numFmt w:val="decimal"/>
      <w:lvlText w:val="%1"/>
      <w:lvlJc w:val="left"/>
      <w:pPr>
        <w:ind w:left="360" w:hanging="360"/>
      </w:pPr>
      <w:rPr>
        <w:rFonts w:hint="default"/>
      </w:rPr>
    </w:lvl>
    <w:lvl w:ilvl="1">
      <w:start w:val="1"/>
      <w:numFmt w:val="bullet"/>
      <w:lvlText w:val="–"/>
      <w:lvlJc w:val="left"/>
      <w:pPr>
        <w:ind w:left="644" w:hanging="360"/>
      </w:pPr>
      <w:rPr>
        <w:rFonts w:ascii="Courier New" w:hAnsi="Courier New"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7AB95E69"/>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18"/>
  </w:num>
  <w:num w:numId="2">
    <w:abstractNumId w:val="45"/>
  </w:num>
  <w:num w:numId="3">
    <w:abstractNumId w:val="12"/>
  </w:num>
  <w:num w:numId="4">
    <w:abstractNumId w:val="21"/>
  </w:num>
  <w:num w:numId="5">
    <w:abstractNumId w:val="42"/>
  </w:num>
  <w:num w:numId="6">
    <w:abstractNumId w:val="40"/>
  </w:num>
  <w:num w:numId="7">
    <w:abstractNumId w:val="48"/>
  </w:num>
  <w:num w:numId="8">
    <w:abstractNumId w:val="32"/>
  </w:num>
  <w:num w:numId="9">
    <w:abstractNumId w:val="5"/>
  </w:num>
  <w:num w:numId="10">
    <w:abstractNumId w:val="38"/>
  </w:num>
  <w:num w:numId="11">
    <w:abstractNumId w:val="28"/>
  </w:num>
  <w:num w:numId="12">
    <w:abstractNumId w:val="10"/>
  </w:num>
  <w:num w:numId="13">
    <w:abstractNumId w:val="37"/>
  </w:num>
  <w:num w:numId="14">
    <w:abstractNumId w:val="6"/>
  </w:num>
  <w:num w:numId="15">
    <w:abstractNumId w:val="29"/>
  </w:num>
  <w:num w:numId="16">
    <w:abstractNumId w:val="1"/>
  </w:num>
  <w:num w:numId="17">
    <w:abstractNumId w:val="19"/>
  </w:num>
  <w:num w:numId="18">
    <w:abstractNumId w:val="24"/>
  </w:num>
  <w:num w:numId="19">
    <w:abstractNumId w:val="15"/>
  </w:num>
  <w:num w:numId="20">
    <w:abstractNumId w:val="30"/>
  </w:num>
  <w:num w:numId="21">
    <w:abstractNumId w:val="7"/>
  </w:num>
  <w:num w:numId="22">
    <w:abstractNumId w:val="33"/>
  </w:num>
  <w:num w:numId="23">
    <w:abstractNumId w:val="22"/>
  </w:num>
  <w:num w:numId="24">
    <w:abstractNumId w:val="26"/>
  </w:num>
  <w:num w:numId="25">
    <w:abstractNumId w:val="31"/>
  </w:num>
  <w:num w:numId="26">
    <w:abstractNumId w:val="41"/>
  </w:num>
  <w:num w:numId="27">
    <w:abstractNumId w:val="8"/>
  </w:num>
  <w:num w:numId="28">
    <w:abstractNumId w:val="46"/>
  </w:num>
  <w:num w:numId="29">
    <w:abstractNumId w:val="14"/>
  </w:num>
  <w:num w:numId="30">
    <w:abstractNumId w:val="4"/>
  </w:num>
  <w:num w:numId="31">
    <w:abstractNumId w:val="20"/>
  </w:num>
  <w:num w:numId="32">
    <w:abstractNumId w:val="39"/>
  </w:num>
  <w:num w:numId="33">
    <w:abstractNumId w:val="27"/>
  </w:num>
  <w:num w:numId="34">
    <w:abstractNumId w:val="43"/>
  </w:num>
  <w:num w:numId="35">
    <w:abstractNumId w:val="9"/>
  </w:num>
  <w:num w:numId="36">
    <w:abstractNumId w:val="35"/>
  </w:num>
  <w:num w:numId="37">
    <w:abstractNumId w:val="16"/>
  </w:num>
  <w:num w:numId="38">
    <w:abstractNumId w:val="17"/>
  </w:num>
  <w:num w:numId="39">
    <w:abstractNumId w:val="47"/>
  </w:num>
  <w:num w:numId="40">
    <w:abstractNumId w:val="23"/>
  </w:num>
  <w:num w:numId="41">
    <w:abstractNumId w:val="44"/>
  </w:num>
  <w:num w:numId="42">
    <w:abstractNumId w:val="13"/>
  </w:num>
  <w:num w:numId="43">
    <w:abstractNumId w:val="3"/>
  </w:num>
  <w:num w:numId="44">
    <w:abstractNumId w:val="0"/>
  </w:num>
  <w:num w:numId="45">
    <w:abstractNumId w:val="34"/>
  </w:num>
  <w:num w:numId="46">
    <w:abstractNumId w:val="11"/>
  </w:num>
  <w:num w:numId="47">
    <w:abstractNumId w:val="36"/>
  </w:num>
  <w:num w:numId="48">
    <w:abstractNumId w:val="2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1"/>
    <w:rsid w:val="00000CBE"/>
    <w:rsid w:val="00005D30"/>
    <w:rsid w:val="00013B3A"/>
    <w:rsid w:val="00021601"/>
    <w:rsid w:val="000219CB"/>
    <w:rsid w:val="00025899"/>
    <w:rsid w:val="00042EB3"/>
    <w:rsid w:val="00056297"/>
    <w:rsid w:val="00057AE1"/>
    <w:rsid w:val="0006004E"/>
    <w:rsid w:val="0006784C"/>
    <w:rsid w:val="00087BA1"/>
    <w:rsid w:val="00093224"/>
    <w:rsid w:val="000A3DA6"/>
    <w:rsid w:val="000E228B"/>
    <w:rsid w:val="000E43E3"/>
    <w:rsid w:val="000F2D31"/>
    <w:rsid w:val="000F43B1"/>
    <w:rsid w:val="00106F3C"/>
    <w:rsid w:val="00112A19"/>
    <w:rsid w:val="00115034"/>
    <w:rsid w:val="0012070A"/>
    <w:rsid w:val="00120B09"/>
    <w:rsid w:val="00130CE8"/>
    <w:rsid w:val="0013249C"/>
    <w:rsid w:val="0013295F"/>
    <w:rsid w:val="00137A00"/>
    <w:rsid w:val="00143343"/>
    <w:rsid w:val="00145082"/>
    <w:rsid w:val="0016344A"/>
    <w:rsid w:val="0018276F"/>
    <w:rsid w:val="00187868"/>
    <w:rsid w:val="001A3D5B"/>
    <w:rsid w:val="001A76B2"/>
    <w:rsid w:val="001A77EA"/>
    <w:rsid w:val="001B1B21"/>
    <w:rsid w:val="001B21BF"/>
    <w:rsid w:val="001C05BF"/>
    <w:rsid w:val="001C67CA"/>
    <w:rsid w:val="001D472A"/>
    <w:rsid w:val="001E00CB"/>
    <w:rsid w:val="001E38F4"/>
    <w:rsid w:val="002010D7"/>
    <w:rsid w:val="0021614E"/>
    <w:rsid w:val="00235EAD"/>
    <w:rsid w:val="002421AF"/>
    <w:rsid w:val="002771BC"/>
    <w:rsid w:val="002916E7"/>
    <w:rsid w:val="002B0767"/>
    <w:rsid w:val="002C2C3D"/>
    <w:rsid w:val="002D5862"/>
    <w:rsid w:val="002E43AA"/>
    <w:rsid w:val="002E75B6"/>
    <w:rsid w:val="002F4132"/>
    <w:rsid w:val="002F6124"/>
    <w:rsid w:val="00311185"/>
    <w:rsid w:val="00312A3A"/>
    <w:rsid w:val="003157AC"/>
    <w:rsid w:val="00317417"/>
    <w:rsid w:val="00327263"/>
    <w:rsid w:val="003365EE"/>
    <w:rsid w:val="003517AF"/>
    <w:rsid w:val="00353F95"/>
    <w:rsid w:val="00354605"/>
    <w:rsid w:val="00365421"/>
    <w:rsid w:val="00370940"/>
    <w:rsid w:val="0037227D"/>
    <w:rsid w:val="0037240D"/>
    <w:rsid w:val="003764BA"/>
    <w:rsid w:val="0038006E"/>
    <w:rsid w:val="003826F0"/>
    <w:rsid w:val="00394AEB"/>
    <w:rsid w:val="00396F63"/>
    <w:rsid w:val="003A2342"/>
    <w:rsid w:val="003A287A"/>
    <w:rsid w:val="003A572E"/>
    <w:rsid w:val="003A74D1"/>
    <w:rsid w:val="003B014A"/>
    <w:rsid w:val="003B74AB"/>
    <w:rsid w:val="003B79F2"/>
    <w:rsid w:val="003C2982"/>
    <w:rsid w:val="003C79D1"/>
    <w:rsid w:val="003E48F7"/>
    <w:rsid w:val="003E581B"/>
    <w:rsid w:val="0040180F"/>
    <w:rsid w:val="00405968"/>
    <w:rsid w:val="00417FFA"/>
    <w:rsid w:val="00421A45"/>
    <w:rsid w:val="00421DF1"/>
    <w:rsid w:val="0043693F"/>
    <w:rsid w:val="00450B65"/>
    <w:rsid w:val="0045207F"/>
    <w:rsid w:val="00462D55"/>
    <w:rsid w:val="00466118"/>
    <w:rsid w:val="004733A2"/>
    <w:rsid w:val="004870A8"/>
    <w:rsid w:val="00487F58"/>
    <w:rsid w:val="004963C0"/>
    <w:rsid w:val="004B79EA"/>
    <w:rsid w:val="004C5689"/>
    <w:rsid w:val="004D2397"/>
    <w:rsid w:val="004D76B9"/>
    <w:rsid w:val="004E3AA9"/>
    <w:rsid w:val="004F5FAC"/>
    <w:rsid w:val="004F7632"/>
    <w:rsid w:val="00507E2F"/>
    <w:rsid w:val="0051759E"/>
    <w:rsid w:val="00524511"/>
    <w:rsid w:val="00543814"/>
    <w:rsid w:val="00545FE9"/>
    <w:rsid w:val="00550E84"/>
    <w:rsid w:val="0056059C"/>
    <w:rsid w:val="00562135"/>
    <w:rsid w:val="0056402D"/>
    <w:rsid w:val="00565E96"/>
    <w:rsid w:val="005665AC"/>
    <w:rsid w:val="005665D0"/>
    <w:rsid w:val="0057448E"/>
    <w:rsid w:val="00591A8C"/>
    <w:rsid w:val="0059312F"/>
    <w:rsid w:val="0059509A"/>
    <w:rsid w:val="005A25C1"/>
    <w:rsid w:val="005A4BDE"/>
    <w:rsid w:val="005B02E7"/>
    <w:rsid w:val="005C42E7"/>
    <w:rsid w:val="005C5702"/>
    <w:rsid w:val="005C6884"/>
    <w:rsid w:val="005C6C87"/>
    <w:rsid w:val="005E3865"/>
    <w:rsid w:val="005F417D"/>
    <w:rsid w:val="006031B5"/>
    <w:rsid w:val="00603572"/>
    <w:rsid w:val="00611BF9"/>
    <w:rsid w:val="00617AE5"/>
    <w:rsid w:val="006219E2"/>
    <w:rsid w:val="006223A1"/>
    <w:rsid w:val="006242C1"/>
    <w:rsid w:val="00626481"/>
    <w:rsid w:val="006372F1"/>
    <w:rsid w:val="006410DD"/>
    <w:rsid w:val="00645FFD"/>
    <w:rsid w:val="00652E19"/>
    <w:rsid w:val="00656BEE"/>
    <w:rsid w:val="006665B7"/>
    <w:rsid w:val="0066752D"/>
    <w:rsid w:val="006707D8"/>
    <w:rsid w:val="00673BAC"/>
    <w:rsid w:val="00686D40"/>
    <w:rsid w:val="006A0862"/>
    <w:rsid w:val="006C098D"/>
    <w:rsid w:val="006E065E"/>
    <w:rsid w:val="006E4B83"/>
    <w:rsid w:val="006E773B"/>
    <w:rsid w:val="006F68AA"/>
    <w:rsid w:val="007151E5"/>
    <w:rsid w:val="00715B5D"/>
    <w:rsid w:val="00725F51"/>
    <w:rsid w:val="00733751"/>
    <w:rsid w:val="00742A33"/>
    <w:rsid w:val="00755958"/>
    <w:rsid w:val="00760831"/>
    <w:rsid w:val="007700A9"/>
    <w:rsid w:val="00774202"/>
    <w:rsid w:val="00774230"/>
    <w:rsid w:val="007828F9"/>
    <w:rsid w:val="00787621"/>
    <w:rsid w:val="00787D26"/>
    <w:rsid w:val="0079789C"/>
    <w:rsid w:val="007A5D6F"/>
    <w:rsid w:val="007A663A"/>
    <w:rsid w:val="007B10D8"/>
    <w:rsid w:val="007B349F"/>
    <w:rsid w:val="007C08D9"/>
    <w:rsid w:val="007C6875"/>
    <w:rsid w:val="007C6C2A"/>
    <w:rsid w:val="007D2FA2"/>
    <w:rsid w:val="007D59B7"/>
    <w:rsid w:val="007D72BD"/>
    <w:rsid w:val="007E4BEA"/>
    <w:rsid w:val="007F0502"/>
    <w:rsid w:val="007F6F6B"/>
    <w:rsid w:val="0080027B"/>
    <w:rsid w:val="00804330"/>
    <w:rsid w:val="0081095D"/>
    <w:rsid w:val="008140F6"/>
    <w:rsid w:val="0081478E"/>
    <w:rsid w:val="008147EE"/>
    <w:rsid w:val="00831D70"/>
    <w:rsid w:val="00832168"/>
    <w:rsid w:val="00836057"/>
    <w:rsid w:val="00846FF2"/>
    <w:rsid w:val="00851244"/>
    <w:rsid w:val="0086126B"/>
    <w:rsid w:val="00865CBD"/>
    <w:rsid w:val="00880094"/>
    <w:rsid w:val="008A45BC"/>
    <w:rsid w:val="008B11B0"/>
    <w:rsid w:val="008B1EE6"/>
    <w:rsid w:val="008B242C"/>
    <w:rsid w:val="008B7E31"/>
    <w:rsid w:val="008C2153"/>
    <w:rsid w:val="008D4FEF"/>
    <w:rsid w:val="008E39D1"/>
    <w:rsid w:val="008E62C8"/>
    <w:rsid w:val="008F0469"/>
    <w:rsid w:val="008F7414"/>
    <w:rsid w:val="009013FD"/>
    <w:rsid w:val="009137EC"/>
    <w:rsid w:val="009151AA"/>
    <w:rsid w:val="00924696"/>
    <w:rsid w:val="00934B5C"/>
    <w:rsid w:val="00934D96"/>
    <w:rsid w:val="00945B2E"/>
    <w:rsid w:val="00956FD5"/>
    <w:rsid w:val="0096012D"/>
    <w:rsid w:val="00965A2F"/>
    <w:rsid w:val="00976F57"/>
    <w:rsid w:val="009868BF"/>
    <w:rsid w:val="00990F1D"/>
    <w:rsid w:val="00993DE5"/>
    <w:rsid w:val="009A629A"/>
    <w:rsid w:val="009A6EE2"/>
    <w:rsid w:val="009A7003"/>
    <w:rsid w:val="009B72BF"/>
    <w:rsid w:val="009D573F"/>
    <w:rsid w:val="009D5AC5"/>
    <w:rsid w:val="009E586D"/>
    <w:rsid w:val="009E7C0B"/>
    <w:rsid w:val="009F31A1"/>
    <w:rsid w:val="009F48F1"/>
    <w:rsid w:val="00A04903"/>
    <w:rsid w:val="00A0612C"/>
    <w:rsid w:val="00A1157F"/>
    <w:rsid w:val="00A21A0D"/>
    <w:rsid w:val="00A24919"/>
    <w:rsid w:val="00A26028"/>
    <w:rsid w:val="00A46398"/>
    <w:rsid w:val="00A47A47"/>
    <w:rsid w:val="00A511CE"/>
    <w:rsid w:val="00A72061"/>
    <w:rsid w:val="00A81E89"/>
    <w:rsid w:val="00A81EC5"/>
    <w:rsid w:val="00A862DB"/>
    <w:rsid w:val="00A92F34"/>
    <w:rsid w:val="00A959CF"/>
    <w:rsid w:val="00A95A04"/>
    <w:rsid w:val="00A96676"/>
    <w:rsid w:val="00AA3D86"/>
    <w:rsid w:val="00AA4C32"/>
    <w:rsid w:val="00AA5696"/>
    <w:rsid w:val="00AB537E"/>
    <w:rsid w:val="00AB6BBA"/>
    <w:rsid w:val="00AC7056"/>
    <w:rsid w:val="00AE1086"/>
    <w:rsid w:val="00AE5B6E"/>
    <w:rsid w:val="00AF1C48"/>
    <w:rsid w:val="00AF5A4D"/>
    <w:rsid w:val="00B0395A"/>
    <w:rsid w:val="00B123C2"/>
    <w:rsid w:val="00B17F6C"/>
    <w:rsid w:val="00B30633"/>
    <w:rsid w:val="00B3131E"/>
    <w:rsid w:val="00B32FCD"/>
    <w:rsid w:val="00B34E12"/>
    <w:rsid w:val="00B4365F"/>
    <w:rsid w:val="00B60F9A"/>
    <w:rsid w:val="00B61FCF"/>
    <w:rsid w:val="00B665E4"/>
    <w:rsid w:val="00B7058D"/>
    <w:rsid w:val="00B70A46"/>
    <w:rsid w:val="00B72DB3"/>
    <w:rsid w:val="00B75AD5"/>
    <w:rsid w:val="00B82358"/>
    <w:rsid w:val="00B941CB"/>
    <w:rsid w:val="00BA0A9C"/>
    <w:rsid w:val="00BA4F52"/>
    <w:rsid w:val="00BB345A"/>
    <w:rsid w:val="00BB525B"/>
    <w:rsid w:val="00BB5BB1"/>
    <w:rsid w:val="00BC1E17"/>
    <w:rsid w:val="00BD670C"/>
    <w:rsid w:val="00C07670"/>
    <w:rsid w:val="00C13962"/>
    <w:rsid w:val="00C17555"/>
    <w:rsid w:val="00C266B6"/>
    <w:rsid w:val="00C431A3"/>
    <w:rsid w:val="00C5534E"/>
    <w:rsid w:val="00C56AA8"/>
    <w:rsid w:val="00C612C7"/>
    <w:rsid w:val="00C6193B"/>
    <w:rsid w:val="00C65A2C"/>
    <w:rsid w:val="00C729F7"/>
    <w:rsid w:val="00C767FF"/>
    <w:rsid w:val="00C90DC0"/>
    <w:rsid w:val="00C912D7"/>
    <w:rsid w:val="00C9518C"/>
    <w:rsid w:val="00CB14EB"/>
    <w:rsid w:val="00CC072B"/>
    <w:rsid w:val="00CD0D75"/>
    <w:rsid w:val="00CE4A53"/>
    <w:rsid w:val="00CE71EA"/>
    <w:rsid w:val="00CF025D"/>
    <w:rsid w:val="00CF0DFB"/>
    <w:rsid w:val="00CF507E"/>
    <w:rsid w:val="00CF6951"/>
    <w:rsid w:val="00D0057D"/>
    <w:rsid w:val="00D110CE"/>
    <w:rsid w:val="00D15316"/>
    <w:rsid w:val="00D1658C"/>
    <w:rsid w:val="00D1720F"/>
    <w:rsid w:val="00D21F93"/>
    <w:rsid w:val="00D323C0"/>
    <w:rsid w:val="00D32C7F"/>
    <w:rsid w:val="00D50114"/>
    <w:rsid w:val="00D5709F"/>
    <w:rsid w:val="00D7159F"/>
    <w:rsid w:val="00D77F08"/>
    <w:rsid w:val="00DA0E65"/>
    <w:rsid w:val="00DB074E"/>
    <w:rsid w:val="00DD202A"/>
    <w:rsid w:val="00DD6C59"/>
    <w:rsid w:val="00DE3572"/>
    <w:rsid w:val="00DF15C1"/>
    <w:rsid w:val="00DF782A"/>
    <w:rsid w:val="00E02A69"/>
    <w:rsid w:val="00E04949"/>
    <w:rsid w:val="00E05F62"/>
    <w:rsid w:val="00E06E1A"/>
    <w:rsid w:val="00E0714D"/>
    <w:rsid w:val="00E341C2"/>
    <w:rsid w:val="00E4088F"/>
    <w:rsid w:val="00E467EE"/>
    <w:rsid w:val="00E77226"/>
    <w:rsid w:val="00E82316"/>
    <w:rsid w:val="00E9707A"/>
    <w:rsid w:val="00EA3A5F"/>
    <w:rsid w:val="00EB632D"/>
    <w:rsid w:val="00EC027D"/>
    <w:rsid w:val="00F1158B"/>
    <w:rsid w:val="00F13080"/>
    <w:rsid w:val="00F154F5"/>
    <w:rsid w:val="00F16650"/>
    <w:rsid w:val="00F257C6"/>
    <w:rsid w:val="00F31EE4"/>
    <w:rsid w:val="00F710AB"/>
    <w:rsid w:val="00F8430B"/>
    <w:rsid w:val="00F84BF9"/>
    <w:rsid w:val="00FA4E48"/>
    <w:rsid w:val="00FA6199"/>
    <w:rsid w:val="00FB6DDB"/>
    <w:rsid w:val="00FC3C3C"/>
    <w:rsid w:val="00FE36EB"/>
    <w:rsid w:val="00FE6126"/>
    <w:rsid w:val="00FF0BCA"/>
    <w:rsid w:val="00FF6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104F9"/>
  <w15:docId w15:val="{00FA29CF-5480-45E0-BE62-375DF4B6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E7"/>
    <w:rPr>
      <w:rFonts w:ascii="Arial" w:hAnsi="Arial"/>
      <w:sz w:val="20"/>
    </w:rPr>
  </w:style>
  <w:style w:type="paragraph" w:styleId="Heading1">
    <w:name w:val="heading 1"/>
    <w:basedOn w:val="Normal"/>
    <w:next w:val="Normal"/>
    <w:link w:val="Heading1Char"/>
    <w:uiPriority w:val="9"/>
    <w:qFormat/>
    <w:rsid w:val="009A6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43814"/>
    <w:pPr>
      <w:ind w:left="720"/>
      <w:contextualSpacing/>
    </w:pPr>
  </w:style>
  <w:style w:type="paragraph" w:styleId="Header">
    <w:name w:val="header"/>
    <w:basedOn w:val="Normal"/>
    <w:link w:val="HeaderChar"/>
    <w:uiPriority w:val="99"/>
    <w:unhideWhenUsed/>
    <w:rsid w:val="00B1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C2"/>
  </w:style>
  <w:style w:type="paragraph" w:styleId="Footer">
    <w:name w:val="footer"/>
    <w:basedOn w:val="Normal"/>
    <w:link w:val="FooterChar"/>
    <w:uiPriority w:val="99"/>
    <w:unhideWhenUsed/>
    <w:rsid w:val="00B1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C2"/>
  </w:style>
  <w:style w:type="paragraph" w:styleId="BalloonText">
    <w:name w:val="Balloon Text"/>
    <w:basedOn w:val="Normal"/>
    <w:link w:val="BalloonTextChar"/>
    <w:uiPriority w:val="99"/>
    <w:semiHidden/>
    <w:unhideWhenUsed/>
    <w:rsid w:val="001A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5B"/>
    <w:rPr>
      <w:rFonts w:ascii="Segoe UI" w:hAnsi="Segoe UI" w:cs="Segoe UI"/>
      <w:sz w:val="18"/>
      <w:szCs w:val="18"/>
    </w:rPr>
  </w:style>
  <w:style w:type="character" w:styleId="CommentReference">
    <w:name w:val="annotation reference"/>
    <w:basedOn w:val="DefaultParagraphFont"/>
    <w:uiPriority w:val="99"/>
    <w:semiHidden/>
    <w:unhideWhenUsed/>
    <w:rsid w:val="001A3D5B"/>
    <w:rPr>
      <w:sz w:val="16"/>
      <w:szCs w:val="16"/>
    </w:rPr>
  </w:style>
  <w:style w:type="paragraph" w:styleId="CommentText">
    <w:name w:val="annotation text"/>
    <w:basedOn w:val="Normal"/>
    <w:link w:val="CommentTextChar"/>
    <w:uiPriority w:val="99"/>
    <w:semiHidden/>
    <w:unhideWhenUsed/>
    <w:rsid w:val="001A3D5B"/>
    <w:pPr>
      <w:spacing w:line="240" w:lineRule="auto"/>
    </w:pPr>
    <w:rPr>
      <w:szCs w:val="20"/>
    </w:rPr>
  </w:style>
  <w:style w:type="character" w:customStyle="1" w:styleId="CommentTextChar">
    <w:name w:val="Comment Text Char"/>
    <w:basedOn w:val="DefaultParagraphFont"/>
    <w:link w:val="CommentText"/>
    <w:uiPriority w:val="99"/>
    <w:semiHidden/>
    <w:rsid w:val="001A3D5B"/>
    <w:rPr>
      <w:sz w:val="20"/>
      <w:szCs w:val="20"/>
    </w:rPr>
  </w:style>
  <w:style w:type="paragraph" w:styleId="CommentSubject">
    <w:name w:val="annotation subject"/>
    <w:basedOn w:val="CommentText"/>
    <w:next w:val="CommentText"/>
    <w:link w:val="CommentSubjectChar"/>
    <w:uiPriority w:val="99"/>
    <w:semiHidden/>
    <w:unhideWhenUsed/>
    <w:rsid w:val="001A3D5B"/>
    <w:rPr>
      <w:b/>
      <w:bCs/>
    </w:rPr>
  </w:style>
  <w:style w:type="character" w:customStyle="1" w:styleId="CommentSubjectChar">
    <w:name w:val="Comment Subject Char"/>
    <w:basedOn w:val="CommentTextChar"/>
    <w:link w:val="CommentSubject"/>
    <w:uiPriority w:val="99"/>
    <w:semiHidden/>
    <w:rsid w:val="001A3D5B"/>
    <w:rPr>
      <w:b/>
      <w:bCs/>
      <w:sz w:val="20"/>
      <w:szCs w:val="20"/>
    </w:rPr>
  </w:style>
  <w:style w:type="table" w:styleId="TableGrid">
    <w:name w:val="Table Grid"/>
    <w:basedOn w:val="TableNormal"/>
    <w:uiPriority w:val="59"/>
    <w:unhideWhenUsed/>
    <w:rsid w:val="00B665E4"/>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A81EC5"/>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5D6F"/>
    <w:pPr>
      <w:spacing w:after="0" w:line="240" w:lineRule="auto"/>
    </w:pPr>
    <w:rPr>
      <w:szCs w:val="20"/>
    </w:rPr>
  </w:style>
  <w:style w:type="character" w:customStyle="1" w:styleId="FootnoteTextChar">
    <w:name w:val="Footnote Text Char"/>
    <w:basedOn w:val="DefaultParagraphFont"/>
    <w:link w:val="FootnoteText"/>
    <w:uiPriority w:val="99"/>
    <w:semiHidden/>
    <w:rsid w:val="007A5D6F"/>
    <w:rPr>
      <w:sz w:val="20"/>
      <w:szCs w:val="20"/>
    </w:rPr>
  </w:style>
  <w:style w:type="character" w:styleId="FootnoteReference">
    <w:name w:val="footnote reference"/>
    <w:basedOn w:val="DefaultParagraphFont"/>
    <w:uiPriority w:val="99"/>
    <w:semiHidden/>
    <w:unhideWhenUsed/>
    <w:rsid w:val="007A5D6F"/>
    <w:rPr>
      <w:vertAlign w:val="superscript"/>
    </w:rPr>
  </w:style>
  <w:style w:type="paragraph" w:styleId="Revision">
    <w:name w:val="Revision"/>
    <w:hidden/>
    <w:uiPriority w:val="99"/>
    <w:semiHidden/>
    <w:rsid w:val="00E9707A"/>
    <w:pPr>
      <w:widowControl/>
      <w:spacing w:after="0" w:line="240" w:lineRule="auto"/>
    </w:pPr>
  </w:style>
  <w:style w:type="character" w:customStyle="1" w:styleId="Heading1Char">
    <w:name w:val="Heading 1 Char"/>
    <w:basedOn w:val="DefaultParagraphFont"/>
    <w:link w:val="Heading1"/>
    <w:uiPriority w:val="9"/>
    <w:rsid w:val="009A6E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16650"/>
    <w:rPr>
      <w:color w:val="0000FF" w:themeColor="hyperlink"/>
      <w:u w:val="single"/>
    </w:rPr>
  </w:style>
  <w:style w:type="character" w:styleId="FollowedHyperlink">
    <w:name w:val="FollowedHyperlink"/>
    <w:basedOn w:val="DefaultParagraphFont"/>
    <w:uiPriority w:val="99"/>
    <w:semiHidden/>
    <w:unhideWhenUsed/>
    <w:rsid w:val="00112A19"/>
    <w:rPr>
      <w:color w:val="800080" w:themeColor="followedHyperlink"/>
      <w:u w:val="single"/>
    </w:rPr>
  </w:style>
  <w:style w:type="character" w:styleId="UnresolvedMention">
    <w:name w:val="Unresolved Mention"/>
    <w:basedOn w:val="DefaultParagraphFont"/>
    <w:uiPriority w:val="99"/>
    <w:semiHidden/>
    <w:unhideWhenUsed/>
    <w:rsid w:val="00112A19"/>
    <w:rPr>
      <w:color w:val="605E5C"/>
      <w:shd w:val="clear" w:color="auto" w:fill="E1DFDD"/>
    </w:rPr>
  </w:style>
  <w:style w:type="paragraph" w:styleId="BodyText">
    <w:name w:val="Body Text"/>
    <w:basedOn w:val="Normal"/>
    <w:link w:val="BodyTextChar"/>
    <w:uiPriority w:val="1"/>
    <w:qFormat/>
    <w:rsid w:val="00F84BF9"/>
    <w:pPr>
      <w:autoSpaceDE w:val="0"/>
      <w:autoSpaceDN w:val="0"/>
      <w:spacing w:after="0" w:line="240" w:lineRule="auto"/>
      <w:ind w:left="144"/>
    </w:pPr>
    <w:rPr>
      <w:rFonts w:eastAsia="Arial" w:cs="Arial"/>
      <w:sz w:val="22"/>
    </w:rPr>
  </w:style>
  <w:style w:type="character" w:customStyle="1" w:styleId="BodyTextChar">
    <w:name w:val="Body Text Char"/>
    <w:basedOn w:val="DefaultParagraphFont"/>
    <w:link w:val="BodyText"/>
    <w:uiPriority w:val="1"/>
    <w:rsid w:val="00F84BF9"/>
    <w:rPr>
      <w:rFonts w:ascii="Arial" w:eastAsia="Arial" w:hAnsi="Arial" w:cs="Arial"/>
    </w:rPr>
  </w:style>
  <w:style w:type="character" w:customStyle="1" w:styleId="ListParagraphChar">
    <w:name w:val="List Paragraph Char"/>
    <w:basedOn w:val="DefaultParagraphFont"/>
    <w:link w:val="ListParagraph"/>
    <w:uiPriority w:val="1"/>
    <w:rsid w:val="00F84BF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imm.com/wp-content/uploads/2018/10/chartered-professional-regulations-guidelines2-2018v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966A-A818-4E69-90B2-0C1DDC01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Guidelines2015CS5_FINAL.indd</vt:lpstr>
    </vt:vector>
  </TitlesOfParts>
  <Company>AusIMM</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Guidelines2015CS5_FINAL.indd</dc:title>
  <dc:creator>scatchpole</dc:creator>
  <cp:lastModifiedBy>John Theodoulou</cp:lastModifiedBy>
  <cp:revision>3</cp:revision>
  <cp:lastPrinted>2020-08-23T00:55:00Z</cp:lastPrinted>
  <dcterms:created xsi:type="dcterms:W3CDTF">2020-09-29T05:36:00Z</dcterms:created>
  <dcterms:modified xsi:type="dcterms:W3CDTF">2020-09-29T05:44:00Z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2017-01-31T00:00:00Z</vt:filetime>
  </property>
</Properties>
</file>